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Gilda Display" w:cs="Times New Roman"/>
          <w:i w:val="0"/>
          <w:iCs w:val="0"/>
          <w:caps w:val="0"/>
          <w:color w:val="000000" w:themeColor="text1"/>
          <w:spacing w:val="0"/>
          <w:sz w:val="24"/>
          <w:szCs w:val="24"/>
          <w:shd w:val="clear" w:fill="FFFFFF"/>
          <w14:textFill>
            <w14:solidFill>
              <w14:schemeClr w14:val="tx1"/>
            </w14:solidFill>
          </w14:textFill>
        </w:rPr>
      </w:pPr>
      <w:bookmarkStart w:id="1" w:name="_GoBack"/>
      <w:bookmarkEnd w:id="1"/>
      <w:bookmarkStart w:id="0" w:name="_Hlk111561435"/>
      <w:bookmarkEnd w:id="0"/>
    </w:p>
    <w:p>
      <w:pPr>
        <w:rPr>
          <w:rFonts w:ascii="Times New Roman" w:hAnsi="Times New Roman" w:eastAsia="Gilda Display" w:cs="Times New Roman"/>
          <w:b/>
          <w:bCs/>
          <w:color w:val="000000" w:themeColor="text1"/>
          <w:sz w:val="24"/>
          <w:szCs w:val="24"/>
          <w:u w:val="single"/>
          <w:shd w:val="clear" w:color="auto" w:fill="FFFFFF"/>
          <w14:textFill>
            <w14:solidFill>
              <w14:schemeClr w14:val="tx1"/>
            </w14:solidFill>
          </w14:textFill>
        </w:rPr>
      </w:pPr>
      <w:r>
        <w:rPr>
          <w:rFonts w:hint="default" w:ascii="Times New Roman" w:hAnsi="Times New Roman" w:eastAsia="Gilda Display"/>
          <w:b/>
          <w:bCs/>
          <w:color w:val="000000" w:themeColor="text1"/>
          <w:sz w:val="24"/>
          <w:szCs w:val="24"/>
          <w:u w:val="single"/>
          <w:shd w:val="clear" w:color="auto" w:fill="FFFFFF"/>
          <w14:textFill>
            <w14:solidFill>
              <w14:schemeClr w14:val="tx1"/>
            </w14:solidFill>
          </w14:textFill>
        </w:rPr>
        <w:t>Ashanti Region Tops Violent Incidents Chart in June-July Monitoring Exercise- FOSDA</w:t>
      </w:r>
    </w:p>
    <w:p>
      <w:pPr>
        <w:rPr>
          <w:rFonts w:ascii="Times New Roman" w:hAnsi="Times New Roman" w:eastAsia="Gilda Display" w:cs="Times New Roman"/>
          <w:color w:val="000000" w:themeColor="text1"/>
          <w:sz w:val="24"/>
          <w:szCs w:val="24"/>
          <w:shd w:val="clear" w:color="auto" w:fill="FFFFFF"/>
          <w14:textFill>
            <w14:solidFill>
              <w14:schemeClr w14:val="tx1"/>
            </w14:solidFill>
          </w14:textFill>
        </w:rPr>
      </w:pPr>
      <w:r>
        <w:rPr>
          <w:rFonts w:ascii="Times New Roman" w:hAnsi="Times New Roman" w:eastAsia="Gilda Display" w:cs="Times New Roman"/>
          <w:color w:val="000000" w:themeColor="text1"/>
          <w:sz w:val="24"/>
          <w:szCs w:val="24"/>
          <w:shd w:val="clear" w:color="auto" w:fill="FFFFFF"/>
          <w14:textFill>
            <w14:solidFill>
              <w14:schemeClr w14:val="tx1"/>
            </w14:solidFill>
          </w14:textFill>
        </w:rPr>
        <w:t>The Ashanti Region</w:t>
      </w:r>
      <w:r>
        <w:rPr>
          <w:rFonts w:hint="default" w:ascii="Times New Roman" w:hAnsi="Times New Roman" w:eastAsia="Gilda Display" w:cs="Times New Roman"/>
          <w:color w:val="000000" w:themeColor="text1"/>
          <w:sz w:val="24"/>
          <w:szCs w:val="24"/>
          <w:shd w:val="clear" w:color="auto" w:fill="FFFFFF"/>
          <w:lang w:val="en-US"/>
          <w14:textFill>
            <w14:solidFill>
              <w14:schemeClr w14:val="tx1"/>
            </w14:solidFill>
          </w14:textFill>
        </w:rPr>
        <w:t>,</w:t>
      </w:r>
      <w:r>
        <w:rPr>
          <w:rFonts w:ascii="Times New Roman" w:hAnsi="Times New Roman" w:eastAsia="Gilda Display" w:cs="Times New Roman"/>
          <w:color w:val="000000" w:themeColor="text1"/>
          <w:sz w:val="24"/>
          <w:szCs w:val="24"/>
          <w:shd w:val="clear" w:color="auto" w:fill="FFFFFF"/>
          <w14:textFill>
            <w14:solidFill>
              <w14:schemeClr w14:val="tx1"/>
            </w14:solidFill>
          </w14:textFill>
        </w:rPr>
        <w:t xml:space="preserve"> according to FOSDA</w:t>
      </w:r>
      <w:r>
        <w:rPr>
          <w:rFonts w:hint="default" w:ascii="Times New Roman" w:hAnsi="Times New Roman" w:eastAsia="Gilda Display" w:cs="Times New Roman"/>
          <w:color w:val="000000" w:themeColor="text1"/>
          <w:sz w:val="24"/>
          <w:szCs w:val="24"/>
          <w:shd w:val="clear" w:color="auto" w:fill="FFFFFF"/>
          <w:lang w:val="en-US"/>
          <w14:textFill>
            <w14:solidFill>
              <w14:schemeClr w14:val="tx1"/>
            </w14:solidFill>
          </w14:textFill>
        </w:rPr>
        <w:t xml:space="preserve">’s </w:t>
      </w:r>
      <w:r>
        <w:rPr>
          <w:rFonts w:ascii="Times New Roman" w:hAnsi="Times New Roman" w:eastAsia="Gilda Display" w:cs="Times New Roman"/>
          <w:color w:val="000000" w:themeColor="text1"/>
          <w:sz w:val="24"/>
          <w:szCs w:val="24"/>
          <w:shd w:val="clear" w:color="auto" w:fill="FFFFFF"/>
          <w14:textFill>
            <w14:solidFill>
              <w14:schemeClr w14:val="tx1"/>
            </w14:solidFill>
          </w14:textFill>
        </w:rPr>
        <w:t xml:space="preserve"> monitoring of violen</w:t>
      </w:r>
      <w:r>
        <w:rPr>
          <w:rFonts w:hint="default" w:ascii="Times New Roman" w:hAnsi="Times New Roman" w:eastAsia="Gilda Display" w:cs="Times New Roman"/>
          <w:color w:val="000000" w:themeColor="text1"/>
          <w:sz w:val="24"/>
          <w:szCs w:val="24"/>
          <w:shd w:val="clear" w:color="auto" w:fill="FFFFFF"/>
          <w:lang w:val="en-US"/>
          <w14:textFill>
            <w14:solidFill>
              <w14:schemeClr w14:val="tx1"/>
            </w14:solidFill>
          </w14:textFill>
        </w:rPr>
        <w:t xml:space="preserve">ce, </w:t>
      </w:r>
      <w:r>
        <w:rPr>
          <w:rFonts w:ascii="Times New Roman" w:hAnsi="Times New Roman" w:eastAsia="Gilda Display" w:cs="Times New Roman"/>
          <w:color w:val="000000" w:themeColor="text1"/>
          <w:sz w:val="24"/>
          <w:szCs w:val="24"/>
          <w:shd w:val="clear" w:color="auto" w:fill="FFFFFF"/>
          <w14:textFill>
            <w14:solidFill>
              <w14:schemeClr w14:val="tx1"/>
            </w14:solidFill>
          </w14:textFill>
        </w:rPr>
        <w:t>recorded the highest number of violent incidence</w:t>
      </w:r>
      <w:r>
        <w:rPr>
          <w:rFonts w:hint="default" w:ascii="Times New Roman" w:hAnsi="Times New Roman" w:eastAsia="Gilda Display" w:cs="Times New Roman"/>
          <w:color w:val="000000" w:themeColor="text1"/>
          <w:sz w:val="24"/>
          <w:szCs w:val="24"/>
          <w:shd w:val="clear" w:color="auto" w:fill="FFFFFF"/>
          <w:lang w:val="en-US"/>
          <w14:textFill>
            <w14:solidFill>
              <w14:schemeClr w14:val="tx1"/>
            </w14:solidFill>
          </w14:textFill>
        </w:rPr>
        <w:t>s</w:t>
      </w:r>
      <w:r>
        <w:rPr>
          <w:rFonts w:ascii="Times New Roman" w:hAnsi="Times New Roman" w:eastAsia="Gilda Display" w:cs="Times New Roman"/>
          <w:color w:val="000000" w:themeColor="text1"/>
          <w:sz w:val="24"/>
          <w:szCs w:val="24"/>
          <w:shd w:val="clear" w:color="auto" w:fill="FFFFFF"/>
          <w14:textFill>
            <w14:solidFill>
              <w14:schemeClr w14:val="tx1"/>
            </w14:solidFill>
          </w14:textFill>
        </w:rPr>
        <w:t xml:space="preserve"> in Ghana.</w:t>
      </w:r>
    </w:p>
    <w:p>
      <w:pPr>
        <w:rPr>
          <w:rFonts w:ascii="Times New Roman" w:hAnsi="Times New Roman" w:eastAsia="Gilda Display" w:cs="Times New Roman"/>
          <w:color w:val="000000" w:themeColor="text1"/>
          <w:sz w:val="24"/>
          <w:szCs w:val="24"/>
          <w:shd w:val="clear" w:color="auto" w:fill="FFFFFF"/>
          <w14:textFill>
            <w14:solidFill>
              <w14:schemeClr w14:val="tx1"/>
            </w14:solidFill>
          </w14:textFill>
        </w:rPr>
      </w:pPr>
      <w:r>
        <w:rPr>
          <w:rFonts w:ascii="Times New Roman" w:hAnsi="Times New Roman" w:eastAsia="Gilda Display" w:cs="Times New Roman"/>
          <w:color w:val="000000" w:themeColor="text1"/>
          <w:sz w:val="24"/>
          <w:szCs w:val="24"/>
          <w:shd w:val="clear" w:color="auto" w:fill="FFFFFF"/>
          <w14:textFill>
            <w14:solidFill>
              <w14:schemeClr w14:val="tx1"/>
            </w14:solidFill>
          </w14:textFill>
        </w:rPr>
        <w:t>Out of the total 86 cases recorded within the period of 1</w:t>
      </w:r>
      <w:r>
        <w:rPr>
          <w:rFonts w:ascii="Times New Roman" w:hAnsi="Times New Roman" w:eastAsia="Gilda Display" w:cs="Times New Roman"/>
          <w:color w:val="000000" w:themeColor="text1"/>
          <w:sz w:val="24"/>
          <w:szCs w:val="24"/>
          <w:shd w:val="clear" w:color="auto" w:fill="FFFFFF"/>
          <w:vertAlign w:val="superscript"/>
          <w14:textFill>
            <w14:solidFill>
              <w14:schemeClr w14:val="tx1"/>
            </w14:solidFill>
          </w14:textFill>
        </w:rPr>
        <w:t>st</w:t>
      </w:r>
      <w:r>
        <w:rPr>
          <w:rFonts w:ascii="Times New Roman" w:hAnsi="Times New Roman" w:eastAsia="Gilda Display" w:cs="Times New Roman"/>
          <w:color w:val="000000" w:themeColor="text1"/>
          <w:sz w:val="24"/>
          <w:szCs w:val="24"/>
          <w:shd w:val="clear" w:color="auto" w:fill="FFFFFF"/>
          <w14:textFill>
            <w14:solidFill>
              <w14:schemeClr w14:val="tx1"/>
            </w14:solidFill>
          </w14:textFill>
        </w:rPr>
        <w:t xml:space="preserve"> June to 31</w:t>
      </w:r>
      <w:r>
        <w:rPr>
          <w:rFonts w:ascii="Times New Roman" w:hAnsi="Times New Roman" w:eastAsia="Gilda Display" w:cs="Times New Roman"/>
          <w:color w:val="000000" w:themeColor="text1"/>
          <w:sz w:val="24"/>
          <w:szCs w:val="24"/>
          <w:shd w:val="clear" w:color="auto" w:fill="FFFFFF"/>
          <w:vertAlign w:val="superscript"/>
          <w14:textFill>
            <w14:solidFill>
              <w14:schemeClr w14:val="tx1"/>
            </w14:solidFill>
          </w14:textFill>
        </w:rPr>
        <w:t>st</w:t>
      </w:r>
      <w:r>
        <w:rPr>
          <w:rFonts w:ascii="Times New Roman" w:hAnsi="Times New Roman" w:eastAsia="Gilda Display" w:cs="Times New Roman"/>
          <w:color w:val="000000" w:themeColor="text1"/>
          <w:sz w:val="24"/>
          <w:szCs w:val="24"/>
          <w:shd w:val="clear" w:color="auto" w:fill="FFFFFF"/>
          <w14:textFill>
            <w14:solidFill>
              <w14:schemeClr w14:val="tx1"/>
            </w14:solidFill>
          </w14:textFill>
        </w:rPr>
        <w:t xml:space="preserve">  July 2022, Ashanti region topped the list with a total of 24 incidents, representing 28% of total incidents. </w:t>
      </w:r>
    </w:p>
    <w:p>
      <w:pPr>
        <w:rPr>
          <w:rFonts w:ascii="Times New Roman" w:hAnsi="Times New Roman" w:eastAsia="Gilda Display" w:cs="Times New Roman"/>
          <w:color w:val="000000" w:themeColor="text1"/>
          <w:sz w:val="24"/>
          <w:szCs w:val="24"/>
          <w:shd w:val="clear" w:color="auto" w:fill="FFFFFF"/>
          <w14:textFill>
            <w14:solidFill>
              <w14:schemeClr w14:val="tx1"/>
            </w14:solidFill>
          </w14:textFill>
        </w:rPr>
      </w:pPr>
      <w:r>
        <w:rPr>
          <w:rFonts w:ascii="Times New Roman" w:hAnsi="Times New Roman" w:eastAsia="Gilda Display" w:cs="Times New Roman"/>
          <w:color w:val="000000" w:themeColor="text1"/>
          <w:sz w:val="24"/>
          <w:szCs w:val="24"/>
          <w:shd w:val="clear" w:color="auto" w:fill="FFFFFF"/>
          <w14:textFill>
            <w14:solidFill>
              <w14:schemeClr w14:val="tx1"/>
            </w14:solidFill>
          </w14:textFill>
        </w:rPr>
        <w:t xml:space="preserve">Next to follow keenly is the Greater Accra Region with 21 incidents, representing 24% of the total cases recorded. </w:t>
      </w:r>
    </w:p>
    <w:p>
      <w:pPr>
        <w:rPr>
          <w:rFonts w:ascii="Times New Roman" w:hAnsi="Times New Roman" w:eastAsia="Gilda Display" w:cs="Times New Roman"/>
          <w:color w:val="000000" w:themeColor="text1"/>
          <w:sz w:val="24"/>
          <w:szCs w:val="24"/>
          <w:shd w:val="clear" w:color="auto" w:fill="FFFFFF"/>
          <w14:textFill>
            <w14:solidFill>
              <w14:schemeClr w14:val="tx1"/>
            </w14:solidFill>
          </w14:textFill>
        </w:rPr>
      </w:pPr>
      <w:r>
        <w:rPr>
          <w:rFonts w:ascii="Times New Roman" w:hAnsi="Times New Roman" w:eastAsia="Gilda Display" w:cs="Times New Roman"/>
          <w:color w:val="000000" w:themeColor="text1"/>
          <w:sz w:val="24"/>
          <w:szCs w:val="24"/>
          <w:shd w:val="clear" w:color="auto" w:fill="FFFFFF"/>
          <w14:textFill>
            <w14:solidFill>
              <w14:schemeClr w14:val="tx1"/>
            </w14:solidFill>
          </w14:textFill>
        </w:rPr>
        <w:t xml:space="preserve">However,the Bono Region was the most peaceful region in Ghana within the period under review with no violent case recorded. </w:t>
      </w:r>
    </w:p>
    <w:p>
      <w:pPr>
        <w:rPr>
          <w:rFonts w:ascii="Times New Roman" w:hAnsi="Times New Roman" w:eastAsia="Gilda Display" w:cs="Times New Roman"/>
          <w:color w:val="000000" w:themeColor="text1"/>
          <w:sz w:val="24"/>
          <w:szCs w:val="24"/>
          <w:shd w:val="clear" w:color="auto" w:fill="FFFFFF"/>
          <w14:textFill>
            <w14:solidFill>
              <w14:schemeClr w14:val="tx1"/>
            </w14:solidFill>
          </w14:textFill>
        </w:rPr>
      </w:pPr>
      <w:r>
        <w:rPr>
          <w:rFonts w:ascii="Times New Roman" w:hAnsi="Times New Roman" w:eastAsia="Gilda Display" w:cs="Times New Roman"/>
          <w:color w:val="000000" w:themeColor="text1"/>
          <w:sz w:val="24"/>
          <w:szCs w:val="24"/>
          <w:shd w:val="clear" w:color="auto" w:fill="FFFFFF"/>
          <w14:textFill>
            <w14:solidFill>
              <w14:schemeClr w14:val="tx1"/>
            </w14:solidFill>
          </w14:textFill>
        </w:rPr>
        <w:t xml:space="preserve">The 86 recorded cases within the two month period of monitoring revealed that, a total of 167 injuries and 41 deaths occurred in the regions under monitoring where 10%  of the dead were women.  </w:t>
      </w:r>
    </w:p>
    <w:p>
      <w:pPr>
        <w:rPr>
          <w:rFonts w:ascii="Times New Roman" w:hAnsi="Times New Roman" w:eastAsia="Gilda Display" w:cs="Times New Roman"/>
          <w:color w:val="000000" w:themeColor="text1"/>
          <w:sz w:val="24"/>
          <w:szCs w:val="24"/>
          <w:shd w:val="clear" w:color="auto" w:fill="FFFFFF"/>
          <w14:textFill>
            <w14:solidFill>
              <w14:schemeClr w14:val="tx1"/>
            </w14:solidFill>
          </w14:textFill>
        </w:rPr>
      </w:pPr>
      <w:r>
        <w:rPr>
          <w:rFonts w:ascii="Times New Roman" w:hAnsi="Times New Roman" w:eastAsia="Gilda Display" w:cs="Times New Roman"/>
          <w:color w:val="000000" w:themeColor="text1"/>
          <w:sz w:val="24"/>
          <w:szCs w:val="24"/>
          <w:shd w:val="clear" w:color="auto" w:fill="FFFFFF"/>
          <w14:textFill>
            <w14:solidFill>
              <w14:schemeClr w14:val="tx1"/>
            </w14:solidFill>
          </w14:textFill>
        </w:rPr>
        <w:t xml:space="preserve">Physical violence, including assault also topped the list of violent incidents with 49 reported cases representing </w:t>
      </w:r>
      <w:r>
        <w:rPr>
          <w:rFonts w:ascii="Times New Roman" w:hAnsi="Times New Roman" w:cs="Times New Roman"/>
          <w:color w:val="000000" w:themeColor="text1"/>
          <w:sz w:val="24"/>
          <w:szCs w:val="24"/>
          <w14:textFill>
            <w14:solidFill>
              <w14:schemeClr w14:val="tx1"/>
            </w14:solidFill>
          </w14:textFill>
        </w:rPr>
        <w:t>57% of the total cases  recorded whiles</w:t>
      </w:r>
      <w:r>
        <w:rPr>
          <w:rFonts w:ascii="Times New Roman" w:hAnsi="Times New Roman" w:eastAsia="Gilda Display" w:cs="Times New Roman"/>
          <w:color w:val="000000" w:themeColor="text1"/>
          <w:sz w:val="24"/>
          <w:szCs w:val="24"/>
          <w:shd w:val="clear" w:color="auto" w:fill="FFFFFF"/>
          <w14:textFill>
            <w14:solidFill>
              <w14:schemeClr w14:val="tx1"/>
            </w14:solidFill>
          </w14:textFill>
        </w:rPr>
        <w:t xml:space="preserve"> Gun related violence followed closely with 15 case which accounted for 17% of the total cases recorded. </w:t>
      </w:r>
    </w:p>
    <w:p>
      <w:pPr>
        <w:rPr>
          <w:rFonts w:ascii="Times New Roman" w:hAnsi="Times New Roman" w:eastAsia="Gilda Display" w:cs="Times New Roman"/>
          <w:color w:val="000000" w:themeColor="text1"/>
          <w:sz w:val="24"/>
          <w:szCs w:val="24"/>
          <w:shd w:val="clear" w:color="auto" w:fill="FFFFFF"/>
          <w14:textFill>
            <w14:solidFill>
              <w14:schemeClr w14:val="tx1"/>
            </w14:solidFill>
          </w14:textFill>
        </w:rPr>
      </w:pPr>
      <w:r>
        <w:rPr>
          <w:rFonts w:ascii="Times New Roman" w:hAnsi="Times New Roman" w:eastAsia="Gilda Display" w:cs="Times New Roman"/>
          <w:color w:val="000000" w:themeColor="text1"/>
          <w:sz w:val="24"/>
          <w:szCs w:val="24"/>
          <w:shd w:val="clear" w:color="auto" w:fill="FFFFFF"/>
          <w14:textFill>
            <w14:solidFill>
              <w14:schemeClr w14:val="tx1"/>
            </w14:solidFill>
          </w14:textFill>
        </w:rPr>
        <w:t xml:space="preserve">The above data in this report emanates from FOSDA’s monitoring exercise of 10 major media outlets in Ghana, covering both online and newspaper sources. </w:t>
      </w:r>
    </w:p>
    <w:p>
      <w:pPr>
        <w:rPr>
          <w:rFonts w:ascii="Times New Roman" w:hAnsi="Times New Roman" w:eastAsia="Gilda Display" w:cs="Times New Roman"/>
          <w:color w:val="000000" w:themeColor="text1"/>
          <w:sz w:val="24"/>
          <w:szCs w:val="24"/>
          <w:shd w:val="clear" w:color="auto" w:fill="FFFFFF"/>
          <w14:textFill>
            <w14:solidFill>
              <w14:schemeClr w14:val="tx1"/>
            </w14:solidFill>
          </w14:textFill>
        </w:rPr>
      </w:pPr>
    </w:p>
    <w:p>
      <w:pPr>
        <w:rPr>
          <w:color w:val="000000" w:themeColor="text1"/>
          <w14:textFill>
            <w14:solidFill>
              <w14:schemeClr w14:val="tx1"/>
            </w14:solidFill>
          </w14:textFill>
        </w:rPr>
      </w:pPr>
      <w:r>
        <w:rPr>
          <w:rFonts w:ascii="Times New Roman" w:hAnsi="Times New Roman" w:eastAsia="Gilda Display" w:cs="Times New Roman"/>
          <w:color w:val="000000" w:themeColor="text1"/>
          <w:sz w:val="24"/>
          <w:szCs w:val="24"/>
          <w:shd w:val="clear" w:color="auto" w:fill="FFFFFF"/>
          <w14:textFill>
            <w14:solidFill>
              <w14:schemeClr w14:val="tx1"/>
            </w14:solidFill>
          </w14:textFill>
        </w:rPr>
        <w:t xml:space="preserve">Please find below full report. </w:t>
      </w:r>
    </w:p>
    <w:p>
      <w:pPr>
        <w:rPr>
          <w:b/>
          <w:bCs/>
          <w:color w:val="000000"/>
          <w:sz w:val="56"/>
          <w:szCs w:val="56"/>
        </w:rPr>
      </w:pPr>
    </w:p>
    <w:p>
      <w:pPr>
        <w:rPr>
          <w:b/>
          <w:bCs/>
          <w:color w:val="000000"/>
          <w:sz w:val="56"/>
          <w:szCs w:val="56"/>
        </w:rPr>
      </w:pPr>
    </w:p>
    <w:p>
      <w:pPr>
        <w:rPr>
          <w:b/>
          <w:bCs/>
          <w:color w:val="000000"/>
          <w:sz w:val="56"/>
          <w:szCs w:val="56"/>
        </w:rPr>
      </w:pPr>
    </w:p>
    <w:p>
      <w:pPr>
        <w:rPr>
          <w:b/>
          <w:bCs/>
          <w:color w:val="000000"/>
          <w:sz w:val="56"/>
          <w:szCs w:val="56"/>
        </w:rPr>
      </w:pPr>
    </w:p>
    <w:p>
      <w:pPr>
        <w:rPr>
          <w:b/>
          <w:bCs/>
          <w:color w:val="000000"/>
          <w:sz w:val="56"/>
          <w:szCs w:val="56"/>
        </w:rPr>
      </w:pPr>
    </w:p>
    <w:p>
      <w:pPr>
        <w:pStyle w:val="11"/>
        <w:spacing w:before="0" w:beforeAutospacing="0" w:after="0" w:afterAutospacing="0"/>
        <w:jc w:val="center"/>
        <w:rPr>
          <w:b/>
          <w:bCs/>
          <w:color w:val="000000"/>
          <w:sz w:val="56"/>
          <w:szCs w:val="56"/>
        </w:rPr>
      </w:pPr>
    </w:p>
    <w:p>
      <w:pPr>
        <w:pStyle w:val="11"/>
        <w:spacing w:before="0" w:beforeAutospacing="0" w:after="0" w:afterAutospacing="0"/>
        <w:jc w:val="center"/>
        <w:rPr>
          <w:b/>
          <w:bCs/>
          <w:color w:val="000000"/>
          <w:sz w:val="56"/>
          <w:szCs w:val="56"/>
        </w:rPr>
      </w:pPr>
    </w:p>
    <w:p>
      <w:pPr>
        <w:pStyle w:val="11"/>
        <w:spacing w:before="0" w:beforeAutospacing="0" w:after="0" w:afterAutospacing="0"/>
        <w:jc w:val="center"/>
        <w:rPr>
          <w:b/>
          <w:bCs/>
          <w:color w:val="000000"/>
          <w:sz w:val="56"/>
          <w:szCs w:val="56"/>
        </w:rPr>
      </w:pPr>
      <w:r>
        <w:rPr>
          <w:b/>
          <w:bCs/>
          <w:color w:val="000000"/>
          <w:sz w:val="56"/>
          <w:szCs w:val="56"/>
        </w:rPr>
        <w:t>VIOLENT INCIDENTS IN GHANA</w:t>
      </w:r>
    </w:p>
    <w:p>
      <w:pPr>
        <w:pStyle w:val="11"/>
        <w:spacing w:before="0" w:beforeAutospacing="0" w:after="0" w:afterAutospacing="0"/>
        <w:jc w:val="center"/>
        <w:rPr>
          <w:b/>
          <w:bCs/>
          <w:color w:val="000000"/>
          <w:sz w:val="28"/>
          <w:szCs w:val="28"/>
        </w:rPr>
      </w:pPr>
      <w:r>
        <w:rPr>
          <w:b/>
          <w:bCs/>
          <w:color w:val="000000"/>
          <w:sz w:val="28"/>
          <w:szCs w:val="28"/>
        </w:rPr>
        <w:t xml:space="preserve">A MEDIA MONITORING REPORT </w:t>
      </w:r>
    </w:p>
    <w:p>
      <w:pPr>
        <w:pStyle w:val="11"/>
        <w:spacing w:before="0" w:beforeAutospacing="0" w:after="0" w:afterAutospacing="0"/>
        <w:jc w:val="center"/>
        <w:rPr>
          <w:b/>
          <w:bCs/>
          <w:color w:val="000000"/>
        </w:rPr>
      </w:pPr>
      <w:r>
        <w:rPr>
          <w:b/>
          <w:bCs/>
          <w:color w:val="000000"/>
        </w:rPr>
        <w:drawing>
          <wp:anchor distT="0" distB="0" distL="114300" distR="114300" simplePos="0" relativeHeight="251659264" behindDoc="0" locked="0" layoutInCell="1" allowOverlap="1">
            <wp:simplePos x="0" y="0"/>
            <wp:positionH relativeFrom="margin">
              <wp:posOffset>-911225</wp:posOffset>
            </wp:positionH>
            <wp:positionV relativeFrom="margin">
              <wp:posOffset>1356360</wp:posOffset>
            </wp:positionV>
            <wp:extent cx="7765415" cy="4548505"/>
            <wp:effectExtent l="0" t="0" r="6985"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BEBA8EAE-BF5A-486C-A8C5-ECC9F3942E4B}">
                          <a14:imgProps xmlns:a14="http://schemas.microsoft.com/office/drawing/2010/main">
                            <a14:imgLayer r:embed="rId8">
                              <a14:imgEffect>
                                <a14:artisticFilmGrain/>
                              </a14:imgEffect>
                            </a14:imgLayer>
                          </a14:imgProps>
                        </a:ext>
                        <a:ext uri="{28A0092B-C50C-407E-A947-70E740481C1C}">
                          <a14:useLocalDpi xmlns:a14="http://schemas.microsoft.com/office/drawing/2010/main" val="0"/>
                        </a:ext>
                      </a:extLst>
                    </a:blip>
                    <a:srcRect t="12205"/>
                    <a:stretch>
                      <a:fillRect/>
                    </a:stretch>
                  </pic:blipFill>
                  <pic:spPr>
                    <a:xfrm>
                      <a:off x="0" y="0"/>
                      <a:ext cx="7765415" cy="4548505"/>
                    </a:xfrm>
                    <a:prstGeom prst="rect">
                      <a:avLst/>
                    </a:prstGeom>
                    <a:ln>
                      <a:noFill/>
                    </a:ln>
                  </pic:spPr>
                </pic:pic>
              </a:graphicData>
            </a:graphic>
          </wp:anchor>
        </w:drawing>
      </w:r>
    </w:p>
    <w:p>
      <w:pPr>
        <w:pStyle w:val="11"/>
        <w:spacing w:before="0" w:beforeAutospacing="0" w:after="0" w:afterAutospacing="0"/>
        <w:jc w:val="center"/>
        <w:rPr>
          <w:b/>
          <w:bCs/>
          <w:color w:val="000000"/>
          <w:sz w:val="28"/>
          <w:szCs w:val="28"/>
        </w:rPr>
      </w:pPr>
    </w:p>
    <w:p>
      <w:pPr>
        <w:pStyle w:val="11"/>
        <w:spacing w:before="0" w:beforeAutospacing="0" w:after="0" w:afterAutospacing="0"/>
        <w:jc w:val="center"/>
        <w:rPr>
          <w:b/>
          <w:bCs/>
          <w:color w:val="000000"/>
          <w:sz w:val="28"/>
          <w:szCs w:val="28"/>
        </w:rPr>
      </w:pPr>
    </w:p>
    <w:p>
      <w:pPr>
        <w:pStyle w:val="11"/>
        <w:spacing w:before="0" w:beforeAutospacing="0" w:after="0" w:afterAutospacing="0"/>
        <w:jc w:val="center"/>
        <w:rPr>
          <w:b/>
          <w:bCs/>
          <w:color w:val="000000"/>
          <w:sz w:val="28"/>
          <w:szCs w:val="28"/>
        </w:rPr>
      </w:pPr>
      <w:r>
        <w:rPr>
          <w:b/>
          <w:bCs/>
          <w:color w:val="000000"/>
        </w:rPr>
        <w:drawing>
          <wp:anchor distT="0" distB="0" distL="114300" distR="114300" simplePos="0" relativeHeight="251660288" behindDoc="0" locked="0" layoutInCell="1" allowOverlap="1">
            <wp:simplePos x="0" y="0"/>
            <wp:positionH relativeFrom="margin">
              <wp:posOffset>2388235</wp:posOffset>
            </wp:positionH>
            <wp:positionV relativeFrom="margin">
              <wp:posOffset>6445250</wp:posOffset>
            </wp:positionV>
            <wp:extent cx="1520825" cy="491490"/>
            <wp:effectExtent l="0" t="0" r="3175"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9" cstate="print">
                      <a:extLst>
                        <a:ext uri="{28A0092B-C50C-407E-A947-70E740481C1C}">
                          <a14:useLocalDpi xmlns:a14="http://schemas.microsoft.com/office/drawing/2010/main" val="0"/>
                        </a:ext>
                      </a:extLst>
                    </a:blip>
                    <a:srcRect l="3989" t="12357" r="1884" b="15078"/>
                    <a:stretch>
                      <a:fillRect/>
                    </a:stretch>
                  </pic:blipFill>
                  <pic:spPr>
                    <a:xfrm>
                      <a:off x="0" y="0"/>
                      <a:ext cx="1520825" cy="491490"/>
                    </a:xfrm>
                    <a:prstGeom prst="rect">
                      <a:avLst/>
                    </a:prstGeom>
                    <a:ln>
                      <a:noFill/>
                    </a:ln>
                  </pic:spPr>
                </pic:pic>
              </a:graphicData>
            </a:graphic>
          </wp:anchor>
        </w:drawing>
      </w:r>
    </w:p>
    <w:p>
      <w:pPr>
        <w:pStyle w:val="11"/>
        <w:spacing w:before="0" w:beforeAutospacing="0" w:after="0" w:afterAutospacing="0"/>
        <w:jc w:val="center"/>
        <w:rPr>
          <w:b/>
          <w:bCs/>
          <w:color w:val="000000"/>
          <w:sz w:val="28"/>
          <w:szCs w:val="28"/>
        </w:rPr>
      </w:pPr>
    </w:p>
    <w:p>
      <w:pPr>
        <w:pStyle w:val="11"/>
        <w:spacing w:before="0" w:beforeAutospacing="0" w:after="0" w:afterAutospacing="0"/>
        <w:jc w:val="center"/>
        <w:rPr>
          <w:b/>
          <w:bCs/>
          <w:color w:val="000000"/>
          <w:sz w:val="28"/>
          <w:szCs w:val="28"/>
        </w:rPr>
      </w:pPr>
    </w:p>
    <w:p>
      <w:pPr>
        <w:pStyle w:val="11"/>
        <w:spacing w:before="0" w:beforeAutospacing="0" w:after="0" w:afterAutospacing="0"/>
        <w:jc w:val="center"/>
        <w:rPr>
          <w:b/>
          <w:bCs/>
          <w:color w:val="000000"/>
          <w:sz w:val="28"/>
          <w:szCs w:val="28"/>
        </w:rPr>
      </w:pPr>
    </w:p>
    <w:p>
      <w:pPr>
        <w:pStyle w:val="11"/>
        <w:spacing w:before="0" w:beforeAutospacing="0" w:after="0" w:afterAutospacing="0"/>
        <w:jc w:val="center"/>
        <w:rPr>
          <w:b/>
          <w:bCs/>
          <w:color w:val="000000"/>
          <w:sz w:val="28"/>
          <w:szCs w:val="28"/>
        </w:rPr>
      </w:pPr>
      <w:r>
        <w:rPr>
          <w:b/>
          <w:bCs/>
          <w:color w:val="000000"/>
          <w:sz w:val="28"/>
          <w:szCs w:val="28"/>
        </w:rPr>
        <w:t>June-July 2022</w:t>
      </w:r>
    </w:p>
    <w:p>
      <w:pPr>
        <w:pStyle w:val="11"/>
        <w:spacing w:before="0" w:beforeAutospacing="0" w:after="0" w:afterAutospacing="0"/>
        <w:jc w:val="center"/>
        <w:rPr>
          <w:color w:val="000000"/>
          <w:sz w:val="28"/>
          <w:szCs w:val="28"/>
        </w:rPr>
      </w:pPr>
      <w:r>
        <w:rPr>
          <w:b/>
          <w:bCs/>
          <w:color w:val="000000"/>
          <w:sz w:val="28"/>
          <w:szCs w:val="28"/>
        </w:rPr>
        <w:t xml:space="preserve">By: </w:t>
      </w:r>
      <w:r>
        <w:rPr>
          <w:color w:val="000000"/>
          <w:sz w:val="28"/>
          <w:szCs w:val="28"/>
        </w:rPr>
        <w:t>Foundation for Security and Development in Africa (FOSDA)</w:t>
      </w:r>
    </w:p>
    <w:p>
      <w:pPr>
        <w:rPr>
          <w:rFonts w:ascii="Times New Roman" w:hAnsi="Times New Roman" w:cs="Times New Roman"/>
          <w:b/>
          <w:bCs/>
          <w:sz w:val="32"/>
          <w:szCs w:val="32"/>
        </w:rPr>
      </w:pPr>
    </w:p>
    <w:p>
      <w:pPr>
        <w:rPr>
          <w:rFonts w:ascii="Times New Roman" w:hAnsi="Times New Roman" w:cs="Times New Roman"/>
          <w:b/>
          <w:bCs/>
          <w:sz w:val="32"/>
          <w:szCs w:val="32"/>
        </w:rPr>
      </w:pPr>
    </w:p>
    <w:p>
      <w:pPr>
        <w:rPr>
          <w:rFonts w:ascii="Times New Roman" w:hAnsi="Times New Roman" w:cs="Times New Roman"/>
          <w:b/>
          <w:bCs/>
          <w:sz w:val="32"/>
          <w:szCs w:val="32"/>
        </w:rPr>
      </w:pPr>
    </w:p>
    <w:p>
      <w:pPr>
        <w:rPr>
          <w:rFonts w:ascii="Times New Roman" w:hAnsi="Times New Roman" w:cs="Times New Roman"/>
          <w:sz w:val="24"/>
          <w:szCs w:val="24"/>
        </w:rPr>
      </w:pPr>
      <w:r>
        <w:rPr>
          <w:rFonts w:ascii="Times New Roman" w:hAnsi="Times New Roman" w:cs="Times New Roman"/>
          <w:b/>
          <w:bCs/>
          <w:sz w:val="32"/>
          <w:szCs w:val="32"/>
        </w:rPr>
        <w:t>Executive Summary</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From FOSDA’s June-July 2022 monitoring of violent incidents in Ghana, the number of violent incidents tracked amounted to eighty-six (86). The overall breakdown includes;</w:t>
      </w:r>
    </w:p>
    <w:p>
      <w:pPr>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Physical Violence - 49 cases, representing 57%</w:t>
      </w:r>
    </w:p>
    <w:p>
      <w:pPr>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Gun Violence - 15 cases, representing 17%, </w:t>
      </w:r>
    </w:p>
    <w:p>
      <w:pPr>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Sexual Violence - 12 cases, representing 14%, </w:t>
      </w:r>
    </w:p>
    <w:p>
      <w:pPr>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Psychological Violence – 4 cases representing 5%, </w:t>
      </w:r>
    </w:p>
    <w:p>
      <w:pPr>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Social Violence – 3 cases representing 4%,</w:t>
      </w:r>
    </w:p>
    <w:p>
      <w:pPr>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Economic Violence – 2 cases representing 2% and </w:t>
      </w:r>
    </w:p>
    <w:p>
      <w:pPr>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Political Violence – 1 incident representing 1%. </w:t>
      </w: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r>
        <w:rPr>
          <w:rFonts w:ascii="Times New Roman" w:hAnsi="Times New Roman" w:cs="Times New Roman"/>
          <w:sz w:val="24"/>
          <w:szCs w:val="24"/>
        </w:rPr>
        <w:t>At the regional level, Ashanti region recorded 24 incidents which contributed 28% of total incidents whiles Greater Accra (21) contributed 24%. Western North and Eastern regions recorded 8 incidents each representing 8% and Central region recorded 7 incidents representing 8%. Ten (10) regions that is Bono East, Upper East, Upper West, Western, North East, Volta, Oti, Northern, Savannah and Bono recorded a cumulative incident of 18 representing 21%. There was no violent incident recorded in the Ahafo region.</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total of 167 injuries and 41 deaths occurred. Of the 41 deaths, 63% were men and 10% were women. 10% of the injured were children. The media reportage also failed to provide details on 65% of injuries and 22% of deaths.</w:t>
      </w:r>
    </w:p>
    <w:p>
      <w:pPr>
        <w:spacing w:after="0"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r>
        <w:rPr>
          <w:rFonts w:ascii="Times New Roman" w:hAnsi="Times New Roman" w:cs="Times New Roman"/>
          <w:sz w:val="24"/>
          <w:szCs w:val="24"/>
        </w:rPr>
        <w:t>Physical violence was the most occurring violent incident. It occurred in 12 out of the 16 regions and contributed to 120 injuries (72%) and 26 representing 63% of deaths. On the other hand, Gun violence occurred in 5 regions i.e Greater Accra (5), Ashanti (3), Eastern (4), Western North (2) and Bono East (1). It contributed to 22% of injuries and 32% of deaths.</w:t>
      </w: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pStyle w:val="15"/>
        <w:numPr>
          <w:ilvl w:val="0"/>
          <w:numId w:val="2"/>
        </w:numPr>
        <w:rPr>
          <w:rFonts w:ascii="Times New Roman" w:hAnsi="Times New Roman" w:cs="Times New Roman"/>
          <w:b/>
          <w:bCs/>
          <w:sz w:val="32"/>
          <w:szCs w:val="32"/>
        </w:rPr>
      </w:pPr>
      <w:r>
        <w:rPr>
          <w:rFonts w:ascii="Times New Roman" w:hAnsi="Times New Roman" w:cs="Times New Roman"/>
          <w:b/>
          <w:bCs/>
          <w:sz w:val="32"/>
          <w:szCs w:val="32"/>
        </w:rPr>
        <w:t>Discussions on Monitoring Outcome</w:t>
      </w:r>
    </w:p>
    <w:p>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1.1 General Overview</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the months of June-July 2022, a total of eighty-six (86) violent incidents were reported by twelve (12) </w:t>
      </w:r>
      <w:r>
        <w:rPr>
          <w:rStyle w:val="7"/>
          <w:rFonts w:ascii="Times New Roman" w:hAnsi="Times New Roman" w:cs="Times New Roman"/>
          <w:sz w:val="24"/>
          <w:szCs w:val="24"/>
        </w:rPr>
        <w:footnoteReference w:id="0"/>
      </w:r>
      <w:r>
        <w:rPr>
          <w:rFonts w:ascii="Times New Roman" w:hAnsi="Times New Roman" w:cs="Times New Roman"/>
          <w:sz w:val="24"/>
          <w:szCs w:val="24"/>
        </w:rPr>
        <w:t>media houses including online and print media sources. The 3 major highlights are Physical Violence with 49 cases, representing 57%. Fifteen (15) of the incidents representing 17% of the total incidents were gun related. Sexual violence (12) recorded 14%. These 3 contributed (76 cases) representing 88% of the total incidents recorded.</w:t>
      </w:r>
    </w:p>
    <w:p>
      <w:pPr>
        <w:jc w:val="center"/>
        <w:rPr>
          <w:rFonts w:ascii="Times New Roman" w:hAnsi="Times New Roman" w:cs="Times New Roman"/>
          <w:b/>
          <w:bCs/>
          <w:sz w:val="24"/>
          <w:szCs w:val="24"/>
        </w:rPr>
      </w:pPr>
      <w:r>
        <w:rPr>
          <w:rFonts w:ascii="Times New Roman" w:hAnsi="Times New Roman" w:cs="Times New Roman"/>
          <w:b/>
          <w:bCs/>
          <w:sz w:val="24"/>
          <w:szCs w:val="24"/>
        </w:rPr>
        <w:t>Fig 1: Monthly comparison June &amp; July 2022</w:t>
      </w:r>
    </w:p>
    <w:p>
      <w:pPr>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4364990" cy="31934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365219" cy="3193621"/>
                    </a:xfrm>
                    <a:prstGeom prst="rect">
                      <a:avLst/>
                    </a:prstGeom>
                  </pic:spPr>
                </pic:pic>
              </a:graphicData>
            </a:graphic>
          </wp:inline>
        </w:drawing>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The violent incidents recorded by the selected media houses in June was a total of 23. This increased to 63 incidents nearly 200% in July.</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the current monitoring period, the breakdown of the 86 incidents includes; Physical Violence 49 cases, representing 57%, Gun Violence 15 cases, representing 17%, Sexual Violence 12 cases, representing 14%, Psychological Violence 4 cases representing 5%, Social Violence 3 cases representing 4%, Economic Violence 2 cases representing 2% and Political Violence 1 incident representing 1%. </w:t>
      </w:r>
    </w:p>
    <w:p>
      <w:pPr>
        <w:spacing w:after="0"/>
        <w:jc w:val="center"/>
        <w:rPr>
          <w:rFonts w:ascii="Times New Roman" w:hAnsi="Times New Roman" w:cs="Times New Roman"/>
          <w:b/>
          <w:bCs/>
          <w:sz w:val="24"/>
          <w:szCs w:val="24"/>
        </w:rPr>
      </w:pPr>
      <w:r>
        <w:rPr>
          <w:rFonts w:ascii="Times New Roman" w:hAnsi="Times New Roman" w:cs="Times New Roman"/>
          <w:b/>
          <w:bCs/>
          <w:sz w:val="24"/>
          <w:szCs w:val="24"/>
        </w:rPr>
        <w:t>Fig 2: Share of Violent Incidents recorded</w:t>
      </w:r>
    </w:p>
    <w:p>
      <w:pPr>
        <w:spacing w:after="0"/>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3845560" cy="31845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a:extLst>
                        <a:ext uri="{28A0092B-C50C-407E-A947-70E740481C1C}">
                          <a14:useLocalDpi xmlns:a14="http://schemas.microsoft.com/office/drawing/2010/main" val="0"/>
                        </a:ext>
                      </a:extLst>
                    </a:blip>
                    <a:srcRect l="6311" t="1977" b="3094"/>
                    <a:stretch>
                      <a:fillRect/>
                    </a:stretch>
                  </pic:blipFill>
                  <pic:spPr>
                    <a:xfrm>
                      <a:off x="0" y="0"/>
                      <a:ext cx="3852425" cy="3190746"/>
                    </a:xfrm>
                    <a:prstGeom prst="rect">
                      <a:avLst/>
                    </a:prstGeom>
                    <a:ln>
                      <a:noFill/>
                    </a:ln>
                  </pic:spPr>
                </pic:pic>
              </a:graphicData>
            </a:graphic>
          </wp:inline>
        </w:drawing>
      </w:r>
    </w:p>
    <w:p>
      <w:pPr>
        <w:jc w:val="center"/>
        <w:rPr>
          <w:rFonts w:ascii="Times New Roman" w:hAnsi="Times New Roman" w:cs="Times New Roman"/>
          <w:i/>
          <w:iCs/>
          <w:sz w:val="24"/>
          <w:szCs w:val="24"/>
        </w:rPr>
      </w:pPr>
      <w:r>
        <w:rPr>
          <w:rFonts w:ascii="Times New Roman" w:hAnsi="Times New Roman" w:cs="Times New Roman"/>
          <w:b/>
          <w:bCs/>
          <w:i/>
          <w:iCs/>
          <w:sz w:val="24"/>
          <w:szCs w:val="24"/>
        </w:rPr>
        <w:t>Source:</w:t>
      </w:r>
      <w:r>
        <w:rPr>
          <w:rFonts w:ascii="Times New Roman" w:hAnsi="Times New Roman" w:cs="Times New Roman"/>
          <w:i/>
          <w:iCs/>
          <w:sz w:val="24"/>
          <w:szCs w:val="24"/>
        </w:rPr>
        <w:t xml:space="preserve"> Data from Monitoring</w:t>
      </w:r>
    </w:p>
    <w:p>
      <w:pPr>
        <w:spacing w:line="360" w:lineRule="auto"/>
        <w:rPr>
          <w:rFonts w:ascii="Times New Roman" w:hAnsi="Times New Roman" w:cs="Times New Roman"/>
          <w:sz w:val="24"/>
          <w:szCs w:val="24"/>
        </w:rPr>
      </w:pPr>
    </w:p>
    <w:p>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1.2 Regional Distribution of Violent Incidents Monitored</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At the regional level, Ashanti region recorded 24 violent incidents representing 28% whiles Greater Accra recorded 21 representing 24%. Western North and Eastern regions recorded 8 incidents each representing 8% and Central region recorded 7 incidents representing 8%. Ten (10) regions that is Bono East, Upper East, Upper West, Western, North East, Volta, Oti, Northern, Savannah and Bono recorded a cumulative incident of 18 representing 21%. There was no violent incident recorded in the Ahafo region.</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The zonal breakdown also shows that the Coastal regions (Greater Accra, Central, Western and Volta) recorded 32 incidents representing 37%. The middle zone (Ashanti, Eastern, Oti, Western North, Bono and Bono East) recorded the highest 46 incidents representing 53%. The Northern regions (Upper East, Upper West, North East, Savannah and Northern) contributed 8 incidents representing 9%. Even when the coastal and northern zone incidents are added together (40) it did not exceed the number of incidents recorded in the middle zone i.e 46.</w:t>
      </w:r>
    </w:p>
    <w:p>
      <w:pPr>
        <w:spacing w:line="360" w:lineRule="auto"/>
        <w:rPr>
          <w:rFonts w:ascii="Times New Roman" w:hAnsi="Times New Roman" w:cs="Times New Roman"/>
          <w:sz w:val="24"/>
          <w:szCs w:val="24"/>
        </w:rPr>
      </w:pPr>
    </w:p>
    <w:p>
      <w:pPr>
        <w:spacing w:after="0"/>
        <w:jc w:val="center"/>
        <w:rPr>
          <w:rFonts w:ascii="Times New Roman" w:hAnsi="Times New Roman" w:cs="Times New Roman"/>
          <w:b/>
          <w:bCs/>
          <w:sz w:val="24"/>
          <w:szCs w:val="24"/>
        </w:rPr>
      </w:pPr>
      <w:r>
        <w:rPr>
          <w:rFonts w:ascii="Times New Roman" w:hAnsi="Times New Roman" w:cs="Times New Roman"/>
          <w:b/>
          <w:bCs/>
          <w:sz w:val="24"/>
          <w:szCs w:val="24"/>
        </w:rPr>
        <w:t>Fig 3: Shows violent incidents recorded in 15 out of 16 regions</w:t>
      </w:r>
    </w:p>
    <w:p>
      <w:pPr>
        <w:jc w:val="center"/>
        <w:rPr>
          <w:rFonts w:ascii="Times New Roman" w:hAnsi="Times New Roman" w:cs="Times New Roman"/>
          <w:sz w:val="24"/>
          <w:szCs w:val="24"/>
        </w:rPr>
      </w:pPr>
      <w:r>
        <w:rPr>
          <w:rFonts w:ascii="Times New Roman" w:hAnsi="Times New Roman" w:cs="Times New Roman"/>
          <w:sz w:val="24"/>
          <w:szCs w:val="24"/>
        </w:rPr>
        <w:drawing>
          <wp:anchor distT="0" distB="0" distL="114300" distR="114300" simplePos="0" relativeHeight="251661312" behindDoc="0" locked="0" layoutInCell="1" allowOverlap="1">
            <wp:simplePos x="0" y="0"/>
            <wp:positionH relativeFrom="margin">
              <wp:posOffset>685800</wp:posOffset>
            </wp:positionH>
            <wp:positionV relativeFrom="margin">
              <wp:posOffset>312420</wp:posOffset>
            </wp:positionV>
            <wp:extent cx="4792980" cy="358140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792980" cy="3581400"/>
                    </a:xfrm>
                    <a:prstGeom prst="rect">
                      <a:avLst/>
                    </a:prstGeom>
                  </pic:spPr>
                </pic:pic>
              </a:graphicData>
            </a:graphic>
          </wp:anchor>
        </w:drawing>
      </w: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r>
        <w:rPr>
          <w:rFonts w:ascii="Times New Roman" w:hAnsi="Times New Roman" w:cs="Times New Roman"/>
          <w:sz w:val="24"/>
          <w:szCs w:val="24"/>
        </w:rPr>
        <w:t>Only the Ahafo region did not record any violent incident within the reporting period as show in the figure above.</w:t>
      </w:r>
    </w:p>
    <w:p>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1.3 Casualties</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Casualties were also recorded throughout the monitoring period. A total of 167 injuries and 41 deaths occurred. Sixty-three (63%) of deaths were men as well as 10% for women. 10% of the injured were children.</w:t>
      </w:r>
    </w:p>
    <w:p>
      <w:pPr>
        <w:spacing w:after="0"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monitoring shows that, the direct impact of violent incidents on men is higher compared to women and children. This also has consequences on the affected families. It can be seen that men (63%) died as a result of the violent incidents for the reporting period. This was followed by women (10%) and children (5%). Men also recorded 20% injuries followed by 10% injury for children.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It is important to add that the media did not specify in most case the breakdown of the injured. This could have given a much clearer picture on injuries and deaths for the reporting period. </w:t>
      </w:r>
    </w:p>
    <w:p>
      <w:pPr>
        <w:spacing w:line="360" w:lineRule="auto"/>
        <w:rPr>
          <w:rFonts w:ascii="Times New Roman" w:hAnsi="Times New Roman" w:cs="Times New Roman"/>
          <w:sz w:val="24"/>
          <w:szCs w:val="24"/>
        </w:rPr>
      </w:pPr>
    </w:p>
    <w:p>
      <w:pPr>
        <w:spacing w:after="0"/>
        <w:jc w:val="center"/>
        <w:rPr>
          <w:rFonts w:ascii="Times New Roman" w:hAnsi="Times New Roman" w:cs="Times New Roman"/>
          <w:b/>
          <w:bCs/>
          <w:sz w:val="24"/>
          <w:szCs w:val="24"/>
        </w:rPr>
      </w:pPr>
      <w:r>
        <w:rPr>
          <w:rFonts w:ascii="Times New Roman" w:hAnsi="Times New Roman" w:cs="Times New Roman"/>
          <w:b/>
          <w:bCs/>
          <w:sz w:val="24"/>
          <w:szCs w:val="24"/>
        </w:rPr>
        <w:t>Fig 4: Share of casualties among men, women and children from June-July 2022</w:t>
      </w:r>
    </w:p>
    <w:p>
      <w:pPr>
        <w:spacing w:line="360" w:lineRule="auto"/>
        <w:rPr>
          <w:rFonts w:ascii="Times New Roman" w:hAnsi="Times New Roman" w:cs="Times New Roman"/>
          <w:sz w:val="24"/>
          <w:szCs w:val="24"/>
        </w:rPr>
      </w:pPr>
      <w:r>
        <w:rPr>
          <w:rFonts w:ascii="Times New Roman" w:hAnsi="Times New Roman" w:cs="Times New Roman"/>
          <w:sz w:val="24"/>
          <w:szCs w:val="24"/>
        </w:rPr>
        <w:drawing>
          <wp:anchor distT="0" distB="0" distL="114300" distR="114300" simplePos="0" relativeHeight="251662336" behindDoc="0" locked="0" layoutInCell="1" allowOverlap="1">
            <wp:simplePos x="0" y="0"/>
            <wp:positionH relativeFrom="margin">
              <wp:posOffset>731520</wp:posOffset>
            </wp:positionH>
            <wp:positionV relativeFrom="margin">
              <wp:posOffset>606425</wp:posOffset>
            </wp:positionV>
            <wp:extent cx="4316730" cy="3162300"/>
            <wp:effectExtent l="0" t="0" r="762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316730" cy="3162300"/>
                    </a:xfrm>
                    <a:prstGeom prst="rect">
                      <a:avLst/>
                    </a:prstGeom>
                  </pic:spPr>
                </pic:pic>
              </a:graphicData>
            </a:graphic>
          </wp:anchor>
        </w:drawing>
      </w:r>
    </w:p>
    <w:p>
      <w:pPr>
        <w:spacing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jc w:val="cente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pStyle w:val="15"/>
        <w:numPr>
          <w:ilvl w:val="0"/>
          <w:numId w:val="2"/>
        </w:numPr>
        <w:spacing w:after="0" w:line="360" w:lineRule="auto"/>
        <w:jc w:val="both"/>
        <w:rPr>
          <w:rFonts w:ascii="Times New Roman" w:hAnsi="Times New Roman" w:cs="Times New Roman"/>
          <w:b/>
          <w:bCs/>
          <w:sz w:val="32"/>
          <w:szCs w:val="32"/>
        </w:rPr>
      </w:pPr>
      <w:r>
        <w:rPr>
          <w:rFonts w:ascii="Times New Roman" w:hAnsi="Times New Roman" w:cs="Times New Roman"/>
          <w:b/>
          <w:bCs/>
          <w:sz w:val="32"/>
          <w:szCs w:val="32"/>
        </w:rPr>
        <w:t>Gun Violence</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Gun violence occurred in 5 regions including Greater Accra (5), Ashanti (3), Eastern (4), Western North (2) and Bono East (1). Importantly, gun violence contributed to 22% of injuries and 32% of deaths. </w:t>
      </w:r>
      <w:r>
        <w:rPr>
          <w:rFonts w:ascii="Times New Roman" w:hAnsi="Times New Roman" w:cs="Times New Roman"/>
          <w:b/>
          <w:bCs/>
          <w:sz w:val="24"/>
          <w:szCs w:val="24"/>
        </w:rPr>
        <w:t>Table:1</w:t>
      </w:r>
      <w:r>
        <w:rPr>
          <w:rFonts w:ascii="Times New Roman" w:hAnsi="Times New Roman" w:cs="Times New Roman"/>
          <w:sz w:val="24"/>
          <w:szCs w:val="24"/>
        </w:rPr>
        <w:t xml:space="preserve"> gives a breakdown on the gun related incidents.</w:t>
      </w:r>
    </w:p>
    <w:p>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Table 1: Gun related violence tracked during monitoring period</w:t>
      </w:r>
    </w:p>
    <w:tbl>
      <w:tblPr>
        <w:tblStyle w:val="18"/>
        <w:tblW w:w="10165" w:type="dxa"/>
        <w:tblInd w:w="0" w:type="dxa"/>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Layout w:type="autofit"/>
        <w:tblCellMar>
          <w:top w:w="0" w:type="dxa"/>
          <w:left w:w="108" w:type="dxa"/>
          <w:bottom w:w="0" w:type="dxa"/>
          <w:right w:w="108" w:type="dxa"/>
        </w:tblCellMar>
      </w:tblPr>
      <w:tblGrid>
        <w:gridCol w:w="456"/>
        <w:gridCol w:w="910"/>
        <w:gridCol w:w="1779"/>
        <w:gridCol w:w="7020"/>
      </w:tblGrid>
      <w:tr>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c>
          <w:tcPr>
            <w:tcW w:w="456" w:type="dxa"/>
            <w:tcBorders>
              <w:top w:val="single" w:color="5B9BD5" w:themeColor="accent5" w:sz="4" w:space="0"/>
              <w:left w:val="single" w:color="5B9BD5" w:themeColor="accent5" w:sz="4" w:space="0"/>
              <w:bottom w:val="single" w:color="5B9BD5" w:themeColor="accent5" w:sz="4" w:space="0"/>
              <w:right w:val="nil"/>
              <w:insideH w:val="single" w:sz="4" w:space="0"/>
              <w:insideV w:val="nil"/>
            </w:tcBorders>
            <w:shd w:val="clear" w:color="auto" w:fill="5B9BD5" w:themeFill="accent5"/>
          </w:tcPr>
          <w:p>
            <w:pPr>
              <w:spacing w:after="0" w:line="276" w:lineRule="auto"/>
              <w:rPr>
                <w:rFonts w:ascii="Times New Roman" w:hAnsi="Times New Roman" w:cs="Times New Roman"/>
                <w:b/>
                <w:bCs/>
                <w:color w:val="FFFFFF" w:themeColor="background1"/>
                <w:sz w:val="24"/>
                <w:szCs w:val="24"/>
                <w14:textFill>
                  <w14:solidFill>
                    <w14:schemeClr w14:val="bg1"/>
                  </w14:solidFill>
                </w14:textFill>
              </w:rPr>
            </w:pPr>
            <w:r>
              <w:rPr>
                <w:rFonts w:ascii="Times New Roman" w:hAnsi="Times New Roman" w:cs="Times New Roman"/>
                <w:b/>
                <w:bCs/>
                <w:color w:val="FFFFFF" w:themeColor="background1"/>
                <w:sz w:val="24"/>
                <w:szCs w:val="24"/>
                <w14:textFill>
                  <w14:solidFill>
                    <w14:schemeClr w14:val="bg1"/>
                  </w14:solidFill>
                </w14:textFill>
              </w:rPr>
              <w:t>#</w:t>
            </w:r>
          </w:p>
        </w:tc>
        <w:tc>
          <w:tcPr>
            <w:tcW w:w="910" w:type="dxa"/>
            <w:tcBorders>
              <w:top w:val="single" w:color="5B9BD5" w:themeColor="accent5" w:sz="4" w:space="0"/>
              <w:bottom w:val="single" w:color="5B9BD5" w:themeColor="accent5" w:sz="4" w:space="0"/>
              <w:right w:val="nil"/>
              <w:insideH w:val="single" w:sz="4" w:space="0"/>
              <w:insideV w:val="nil"/>
            </w:tcBorders>
            <w:shd w:val="clear" w:color="auto" w:fill="5B9BD5" w:themeFill="accent5"/>
          </w:tcPr>
          <w:p>
            <w:pPr>
              <w:spacing w:after="0" w:line="276" w:lineRule="auto"/>
              <w:rPr>
                <w:rFonts w:ascii="Times New Roman" w:hAnsi="Times New Roman" w:cs="Times New Roman"/>
                <w:b/>
                <w:bCs/>
                <w:color w:val="FFFFFF" w:themeColor="background1"/>
                <w:sz w:val="24"/>
                <w:szCs w:val="24"/>
                <w14:textFill>
                  <w14:solidFill>
                    <w14:schemeClr w14:val="bg1"/>
                  </w14:solidFill>
                </w14:textFill>
              </w:rPr>
            </w:pPr>
            <w:r>
              <w:rPr>
                <w:rFonts w:ascii="Times New Roman" w:hAnsi="Times New Roman" w:cs="Times New Roman"/>
                <w:b/>
                <w:bCs/>
                <w:color w:val="FFFFFF" w:themeColor="background1"/>
                <w:sz w:val="24"/>
                <w:szCs w:val="24"/>
                <w14:textFill>
                  <w14:solidFill>
                    <w14:schemeClr w14:val="bg1"/>
                  </w14:solidFill>
                </w14:textFill>
              </w:rPr>
              <w:t>Month</w:t>
            </w:r>
          </w:p>
        </w:tc>
        <w:tc>
          <w:tcPr>
            <w:tcW w:w="1779" w:type="dxa"/>
            <w:tcBorders>
              <w:top w:val="single" w:color="5B9BD5" w:themeColor="accent5" w:sz="4" w:space="0"/>
              <w:bottom w:val="single" w:color="5B9BD5" w:themeColor="accent5" w:sz="4" w:space="0"/>
              <w:right w:val="nil"/>
              <w:insideH w:val="single" w:sz="4" w:space="0"/>
              <w:insideV w:val="nil"/>
            </w:tcBorders>
            <w:shd w:val="clear" w:color="auto" w:fill="5B9BD5" w:themeFill="accent5"/>
          </w:tcPr>
          <w:p>
            <w:pPr>
              <w:spacing w:after="0" w:line="276" w:lineRule="auto"/>
              <w:rPr>
                <w:rFonts w:ascii="Times New Roman" w:hAnsi="Times New Roman" w:cs="Times New Roman"/>
                <w:b/>
                <w:bCs/>
                <w:color w:val="FFFFFF" w:themeColor="background1"/>
                <w:sz w:val="24"/>
                <w:szCs w:val="24"/>
                <w14:textFill>
                  <w14:solidFill>
                    <w14:schemeClr w14:val="bg1"/>
                  </w14:solidFill>
                </w14:textFill>
              </w:rPr>
            </w:pPr>
            <w:r>
              <w:rPr>
                <w:rFonts w:ascii="Times New Roman" w:hAnsi="Times New Roman" w:cs="Times New Roman"/>
                <w:b/>
                <w:bCs/>
                <w:color w:val="FFFFFF" w:themeColor="background1"/>
                <w:sz w:val="24"/>
                <w:szCs w:val="24"/>
                <w14:textFill>
                  <w14:solidFill>
                    <w14:schemeClr w14:val="bg1"/>
                  </w14:solidFill>
                </w14:textFill>
              </w:rPr>
              <w:t>Region</w:t>
            </w:r>
          </w:p>
        </w:tc>
        <w:tc>
          <w:tcPr>
            <w:tcW w:w="7020" w:type="dxa"/>
            <w:tcBorders>
              <w:top w:val="single" w:color="5B9BD5" w:themeColor="accent5" w:sz="4" w:space="0"/>
              <w:bottom w:val="single" w:color="5B9BD5" w:themeColor="accent5" w:sz="4" w:space="0"/>
              <w:right w:val="single" w:color="5B9BD5" w:themeColor="accent5" w:sz="4" w:space="0"/>
              <w:insideH w:val="single" w:sz="4" w:space="0"/>
              <w:insideV w:val="nil"/>
            </w:tcBorders>
            <w:shd w:val="clear" w:color="auto" w:fill="5B9BD5" w:themeFill="accent5"/>
          </w:tcPr>
          <w:p>
            <w:pPr>
              <w:spacing w:after="0" w:line="276" w:lineRule="auto"/>
              <w:rPr>
                <w:rFonts w:ascii="Times New Roman" w:hAnsi="Times New Roman" w:cs="Times New Roman"/>
                <w:b/>
                <w:bCs/>
                <w:color w:val="FFFFFF" w:themeColor="background1"/>
                <w:sz w:val="24"/>
                <w:szCs w:val="24"/>
                <w14:textFill>
                  <w14:solidFill>
                    <w14:schemeClr w14:val="bg1"/>
                  </w14:solidFill>
                </w14:textFill>
              </w:rPr>
            </w:pPr>
            <w:r>
              <w:rPr>
                <w:rFonts w:ascii="Times New Roman" w:hAnsi="Times New Roman" w:cs="Times New Roman"/>
                <w:b/>
                <w:bCs/>
                <w:color w:val="FFFFFF" w:themeColor="background1"/>
                <w:sz w:val="24"/>
                <w:szCs w:val="24"/>
                <w14:textFill>
                  <w14:solidFill>
                    <w14:schemeClr w14:val="bg1"/>
                  </w14:solidFill>
                </w14:textFill>
              </w:rPr>
              <w:t>Incident</w:t>
            </w:r>
          </w:p>
        </w:tc>
      </w:tr>
      <w:tr>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c>
          <w:tcPr>
            <w:tcW w:w="456" w:type="dxa"/>
            <w:shd w:val="clear" w:color="auto" w:fill="DEEAF6" w:themeFill="accent5" w:themeFillTint="33"/>
          </w:tcPr>
          <w:p>
            <w:pPr>
              <w:spacing w:after="0" w:line="276" w:lineRule="auto"/>
              <w:rPr>
                <w:rFonts w:ascii="Times New Roman" w:hAnsi="Times New Roman" w:cs="Times New Roman"/>
                <w:b w:val="0"/>
                <w:bCs w:val="0"/>
                <w:sz w:val="24"/>
                <w:szCs w:val="24"/>
              </w:rPr>
            </w:pPr>
            <w:r>
              <w:rPr>
                <w:rFonts w:ascii="Times New Roman" w:hAnsi="Times New Roman" w:cs="Times New Roman"/>
                <w:b/>
                <w:bCs/>
                <w:sz w:val="24"/>
                <w:szCs w:val="24"/>
              </w:rPr>
              <w:t>1</w:t>
            </w:r>
          </w:p>
        </w:tc>
        <w:tc>
          <w:tcPr>
            <w:tcW w:w="910" w:type="dxa"/>
            <w:shd w:val="clear" w:color="auto" w:fill="DEEAF6" w:themeFill="accent5" w:themeFillTint="33"/>
          </w:tcPr>
          <w:p>
            <w:pPr>
              <w:spacing w:after="0" w:line="276" w:lineRule="auto"/>
              <w:rPr>
                <w:rFonts w:ascii="Times New Roman" w:hAnsi="Times New Roman" w:cs="Times New Roman"/>
                <w:sz w:val="24"/>
                <w:szCs w:val="24"/>
              </w:rPr>
            </w:pPr>
            <w:r>
              <w:rPr>
                <w:rFonts w:ascii="Times New Roman" w:hAnsi="Times New Roman" w:cs="Times New Roman"/>
                <w:sz w:val="24"/>
                <w:szCs w:val="24"/>
              </w:rPr>
              <w:t>June</w:t>
            </w:r>
          </w:p>
        </w:tc>
        <w:tc>
          <w:tcPr>
            <w:tcW w:w="1779" w:type="dxa"/>
            <w:shd w:val="clear" w:color="auto" w:fill="DEEAF6" w:themeFill="accent5" w:themeFillTint="33"/>
          </w:tcPr>
          <w:p>
            <w:pPr>
              <w:spacing w:after="0" w:line="276" w:lineRule="auto"/>
              <w:rPr>
                <w:rFonts w:ascii="Times New Roman" w:hAnsi="Times New Roman" w:cs="Times New Roman"/>
                <w:sz w:val="24"/>
                <w:szCs w:val="24"/>
              </w:rPr>
            </w:pPr>
            <w:r>
              <w:rPr>
                <w:rFonts w:ascii="Times New Roman" w:hAnsi="Times New Roman" w:cs="Times New Roman"/>
                <w:sz w:val="24"/>
                <w:szCs w:val="24"/>
              </w:rPr>
              <w:t>Greater Accra</w:t>
            </w:r>
          </w:p>
        </w:tc>
        <w:tc>
          <w:tcPr>
            <w:tcW w:w="7020" w:type="dxa"/>
            <w:shd w:val="clear" w:color="auto" w:fill="DEEAF6" w:themeFill="accent5" w:themeFillTint="33"/>
          </w:tcPr>
          <w:p>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4 persons recorded </w:t>
            </w:r>
            <w:r>
              <w:rPr>
                <w:rFonts w:ascii="Times New Roman" w:hAnsi="Times New Roman" w:cs="Times New Roman"/>
                <w:b/>
                <w:bCs/>
                <w:sz w:val="24"/>
                <w:szCs w:val="24"/>
              </w:rPr>
              <w:t>gunshot</w:t>
            </w:r>
            <w:r>
              <w:rPr>
                <w:rFonts w:ascii="Times New Roman" w:hAnsi="Times New Roman" w:cs="Times New Roman"/>
                <w:sz w:val="24"/>
                <w:szCs w:val="24"/>
              </w:rPr>
              <w:t xml:space="preserve"> wounds following clash between the youth of Zamrama line and some supposed military men.</w:t>
            </w:r>
          </w:p>
        </w:tc>
      </w:tr>
      <w:tr>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c>
          <w:tcPr>
            <w:tcW w:w="456" w:type="dxa"/>
          </w:tcPr>
          <w:p>
            <w:pPr>
              <w:spacing w:after="0" w:line="276" w:lineRule="auto"/>
              <w:rPr>
                <w:rFonts w:ascii="Times New Roman" w:hAnsi="Times New Roman" w:cs="Times New Roman"/>
                <w:b w:val="0"/>
                <w:bCs w:val="0"/>
                <w:sz w:val="24"/>
                <w:szCs w:val="24"/>
              </w:rPr>
            </w:pPr>
            <w:r>
              <w:rPr>
                <w:rFonts w:ascii="Times New Roman" w:hAnsi="Times New Roman" w:cs="Times New Roman"/>
                <w:b/>
                <w:bCs/>
                <w:sz w:val="24"/>
                <w:szCs w:val="24"/>
              </w:rPr>
              <w:t>2</w:t>
            </w:r>
          </w:p>
        </w:tc>
        <w:tc>
          <w:tcPr>
            <w:tcW w:w="910"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June</w:t>
            </w:r>
          </w:p>
        </w:tc>
        <w:tc>
          <w:tcPr>
            <w:tcW w:w="1779"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Greater Accra</w:t>
            </w:r>
          </w:p>
        </w:tc>
        <w:tc>
          <w:tcPr>
            <w:tcW w:w="7020"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Woman threatened with death by </w:t>
            </w:r>
            <w:r>
              <w:rPr>
                <w:rFonts w:ascii="Times New Roman" w:hAnsi="Times New Roman" w:cs="Times New Roman"/>
                <w:b/>
                <w:bCs/>
                <w:sz w:val="24"/>
                <w:szCs w:val="24"/>
              </w:rPr>
              <w:t>gun</w:t>
            </w:r>
            <w:r>
              <w:rPr>
                <w:rFonts w:ascii="Times New Roman" w:hAnsi="Times New Roman" w:cs="Times New Roman"/>
                <w:sz w:val="24"/>
                <w:szCs w:val="24"/>
              </w:rPr>
              <w:t xml:space="preserve"> in Accra</w:t>
            </w:r>
          </w:p>
        </w:tc>
      </w:tr>
      <w:tr>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c>
          <w:tcPr>
            <w:tcW w:w="456" w:type="dxa"/>
            <w:shd w:val="clear" w:color="auto" w:fill="DEEAF6" w:themeFill="accent5" w:themeFillTint="33"/>
          </w:tcPr>
          <w:p>
            <w:pPr>
              <w:spacing w:after="0" w:line="276" w:lineRule="auto"/>
              <w:rPr>
                <w:rFonts w:ascii="Times New Roman" w:hAnsi="Times New Roman" w:cs="Times New Roman"/>
                <w:b w:val="0"/>
                <w:bCs w:val="0"/>
                <w:sz w:val="24"/>
                <w:szCs w:val="24"/>
              </w:rPr>
            </w:pPr>
            <w:r>
              <w:rPr>
                <w:rFonts w:ascii="Times New Roman" w:hAnsi="Times New Roman" w:cs="Times New Roman"/>
                <w:b/>
                <w:bCs/>
                <w:sz w:val="24"/>
                <w:szCs w:val="24"/>
              </w:rPr>
              <w:t>3</w:t>
            </w:r>
          </w:p>
        </w:tc>
        <w:tc>
          <w:tcPr>
            <w:tcW w:w="910" w:type="dxa"/>
            <w:shd w:val="clear" w:color="auto" w:fill="DEEAF6" w:themeFill="accent5" w:themeFillTint="33"/>
          </w:tcPr>
          <w:p>
            <w:pPr>
              <w:spacing w:after="0" w:line="276" w:lineRule="auto"/>
              <w:rPr>
                <w:rFonts w:ascii="Times New Roman" w:hAnsi="Times New Roman" w:cs="Times New Roman"/>
                <w:sz w:val="24"/>
                <w:szCs w:val="24"/>
              </w:rPr>
            </w:pPr>
            <w:r>
              <w:rPr>
                <w:rFonts w:ascii="Times New Roman" w:hAnsi="Times New Roman" w:cs="Times New Roman"/>
                <w:sz w:val="24"/>
                <w:szCs w:val="24"/>
              </w:rPr>
              <w:t>June</w:t>
            </w:r>
          </w:p>
        </w:tc>
        <w:tc>
          <w:tcPr>
            <w:tcW w:w="1779" w:type="dxa"/>
            <w:shd w:val="clear" w:color="auto" w:fill="DEEAF6" w:themeFill="accent5" w:themeFillTint="33"/>
          </w:tcPr>
          <w:p>
            <w:pPr>
              <w:spacing w:after="0" w:line="276" w:lineRule="auto"/>
              <w:rPr>
                <w:rFonts w:ascii="Times New Roman" w:hAnsi="Times New Roman" w:cs="Times New Roman"/>
                <w:sz w:val="24"/>
                <w:szCs w:val="24"/>
              </w:rPr>
            </w:pPr>
            <w:r>
              <w:rPr>
                <w:rFonts w:ascii="Times New Roman" w:hAnsi="Times New Roman" w:cs="Times New Roman"/>
                <w:sz w:val="24"/>
                <w:szCs w:val="24"/>
              </w:rPr>
              <w:t>Greater Accra</w:t>
            </w:r>
          </w:p>
        </w:tc>
        <w:tc>
          <w:tcPr>
            <w:tcW w:w="7020" w:type="dxa"/>
            <w:shd w:val="clear" w:color="auto" w:fill="DEEAF6" w:themeFill="accent5" w:themeFillTint="33"/>
          </w:tcPr>
          <w:p>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One person </w:t>
            </w:r>
            <w:r>
              <w:rPr>
                <w:rFonts w:ascii="Times New Roman" w:hAnsi="Times New Roman" w:cs="Times New Roman"/>
                <w:b/>
                <w:bCs/>
                <w:sz w:val="24"/>
                <w:szCs w:val="24"/>
              </w:rPr>
              <w:t>shot</w:t>
            </w:r>
            <w:r>
              <w:rPr>
                <w:rFonts w:ascii="Times New Roman" w:hAnsi="Times New Roman" w:cs="Times New Roman"/>
                <w:sz w:val="24"/>
                <w:szCs w:val="24"/>
              </w:rPr>
              <w:t xml:space="preserve"> and killed while two others sustained injuries during an event to lift a ban on drumming and noise making at Kokrobite.</w:t>
            </w:r>
          </w:p>
        </w:tc>
      </w:tr>
      <w:tr>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c>
          <w:tcPr>
            <w:tcW w:w="456" w:type="dxa"/>
          </w:tcPr>
          <w:p>
            <w:pPr>
              <w:spacing w:after="0" w:line="276" w:lineRule="auto"/>
              <w:rPr>
                <w:rFonts w:ascii="Times New Roman" w:hAnsi="Times New Roman" w:cs="Times New Roman"/>
                <w:b w:val="0"/>
                <w:bCs w:val="0"/>
                <w:sz w:val="24"/>
                <w:szCs w:val="24"/>
              </w:rPr>
            </w:pPr>
            <w:r>
              <w:rPr>
                <w:rFonts w:ascii="Times New Roman" w:hAnsi="Times New Roman" w:cs="Times New Roman"/>
                <w:b/>
                <w:bCs/>
                <w:sz w:val="24"/>
                <w:szCs w:val="24"/>
              </w:rPr>
              <w:t>4</w:t>
            </w:r>
          </w:p>
        </w:tc>
        <w:tc>
          <w:tcPr>
            <w:tcW w:w="910"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July</w:t>
            </w:r>
          </w:p>
        </w:tc>
        <w:tc>
          <w:tcPr>
            <w:tcW w:w="1779"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Greater Accra</w:t>
            </w:r>
          </w:p>
        </w:tc>
        <w:tc>
          <w:tcPr>
            <w:tcW w:w="7020"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One person </w:t>
            </w:r>
            <w:r>
              <w:rPr>
                <w:rFonts w:ascii="Times New Roman" w:hAnsi="Times New Roman" w:cs="Times New Roman"/>
                <w:b/>
                <w:bCs/>
                <w:sz w:val="24"/>
                <w:szCs w:val="24"/>
              </w:rPr>
              <w:t>shot</w:t>
            </w:r>
            <w:r>
              <w:rPr>
                <w:rFonts w:ascii="Times New Roman" w:hAnsi="Times New Roman" w:cs="Times New Roman"/>
                <w:sz w:val="24"/>
                <w:szCs w:val="24"/>
              </w:rPr>
              <w:t xml:space="preserve"> dead and two injured following Gunshot exchanges between police and robbers in Achiaman, Amasaman.</w:t>
            </w:r>
          </w:p>
        </w:tc>
      </w:tr>
      <w:tr>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c>
          <w:tcPr>
            <w:tcW w:w="456" w:type="dxa"/>
            <w:shd w:val="clear" w:color="auto" w:fill="DEEAF6" w:themeFill="accent5" w:themeFillTint="33"/>
          </w:tcPr>
          <w:p>
            <w:pPr>
              <w:spacing w:after="0" w:line="276" w:lineRule="auto"/>
              <w:rPr>
                <w:rFonts w:ascii="Times New Roman" w:hAnsi="Times New Roman" w:cs="Times New Roman"/>
                <w:b w:val="0"/>
                <w:bCs w:val="0"/>
                <w:sz w:val="24"/>
                <w:szCs w:val="24"/>
              </w:rPr>
            </w:pPr>
            <w:r>
              <w:rPr>
                <w:rFonts w:ascii="Times New Roman" w:hAnsi="Times New Roman" w:cs="Times New Roman"/>
                <w:b/>
                <w:bCs/>
                <w:sz w:val="24"/>
                <w:szCs w:val="24"/>
              </w:rPr>
              <w:t>5</w:t>
            </w:r>
          </w:p>
        </w:tc>
        <w:tc>
          <w:tcPr>
            <w:tcW w:w="910" w:type="dxa"/>
            <w:shd w:val="clear" w:color="auto" w:fill="DEEAF6" w:themeFill="accent5" w:themeFillTint="33"/>
          </w:tcPr>
          <w:p>
            <w:pPr>
              <w:spacing w:after="0" w:line="276" w:lineRule="auto"/>
              <w:rPr>
                <w:rFonts w:ascii="Times New Roman" w:hAnsi="Times New Roman" w:cs="Times New Roman"/>
                <w:sz w:val="24"/>
                <w:szCs w:val="24"/>
              </w:rPr>
            </w:pPr>
            <w:r>
              <w:rPr>
                <w:rFonts w:ascii="Times New Roman" w:hAnsi="Times New Roman" w:cs="Times New Roman"/>
                <w:sz w:val="24"/>
                <w:szCs w:val="24"/>
              </w:rPr>
              <w:t>July</w:t>
            </w:r>
          </w:p>
        </w:tc>
        <w:tc>
          <w:tcPr>
            <w:tcW w:w="1779" w:type="dxa"/>
            <w:shd w:val="clear" w:color="auto" w:fill="DEEAF6" w:themeFill="accent5" w:themeFillTint="33"/>
          </w:tcPr>
          <w:p>
            <w:pPr>
              <w:spacing w:after="0" w:line="276" w:lineRule="auto"/>
              <w:rPr>
                <w:rFonts w:ascii="Times New Roman" w:hAnsi="Times New Roman" w:cs="Times New Roman"/>
                <w:sz w:val="24"/>
                <w:szCs w:val="24"/>
              </w:rPr>
            </w:pPr>
            <w:r>
              <w:rPr>
                <w:rFonts w:ascii="Times New Roman" w:hAnsi="Times New Roman" w:cs="Times New Roman"/>
                <w:sz w:val="24"/>
                <w:szCs w:val="24"/>
              </w:rPr>
              <w:t>Greater Accra</w:t>
            </w:r>
          </w:p>
        </w:tc>
        <w:tc>
          <w:tcPr>
            <w:tcW w:w="7020" w:type="dxa"/>
            <w:shd w:val="clear" w:color="auto" w:fill="DEEAF6" w:themeFill="accent5" w:themeFillTint="33"/>
          </w:tcPr>
          <w:p>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Armed men with an </w:t>
            </w:r>
            <w:r>
              <w:rPr>
                <w:rFonts w:ascii="Times New Roman" w:hAnsi="Times New Roman" w:cs="Times New Roman"/>
                <w:b/>
                <w:bCs/>
                <w:sz w:val="24"/>
                <w:szCs w:val="24"/>
              </w:rPr>
              <w:t>AK-47 rifle, pistol</w:t>
            </w:r>
            <w:r>
              <w:rPr>
                <w:rFonts w:ascii="Times New Roman" w:hAnsi="Times New Roman" w:cs="Times New Roman"/>
                <w:sz w:val="24"/>
                <w:szCs w:val="24"/>
              </w:rPr>
              <w:t xml:space="preserve"> and other offensive weapons were accosted on Monday morning after they allegedly attacked developers on a site. During a meeting at the Ashifla Palace, gunshots were heard.</w:t>
            </w:r>
          </w:p>
        </w:tc>
      </w:tr>
      <w:tr>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c>
          <w:tcPr>
            <w:tcW w:w="456" w:type="dxa"/>
          </w:tcPr>
          <w:p>
            <w:pPr>
              <w:spacing w:after="0" w:line="276" w:lineRule="auto"/>
              <w:rPr>
                <w:rFonts w:ascii="Times New Roman" w:hAnsi="Times New Roman" w:cs="Times New Roman"/>
                <w:b w:val="0"/>
                <w:bCs w:val="0"/>
                <w:sz w:val="24"/>
                <w:szCs w:val="24"/>
              </w:rPr>
            </w:pPr>
            <w:r>
              <w:rPr>
                <w:rFonts w:ascii="Times New Roman" w:hAnsi="Times New Roman" w:cs="Times New Roman"/>
                <w:b/>
                <w:bCs/>
                <w:sz w:val="24"/>
                <w:szCs w:val="24"/>
              </w:rPr>
              <w:t>6</w:t>
            </w:r>
          </w:p>
        </w:tc>
        <w:tc>
          <w:tcPr>
            <w:tcW w:w="910"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July</w:t>
            </w:r>
          </w:p>
        </w:tc>
        <w:tc>
          <w:tcPr>
            <w:tcW w:w="1779"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Eastern</w:t>
            </w:r>
          </w:p>
        </w:tc>
        <w:tc>
          <w:tcPr>
            <w:tcW w:w="7020"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Landguards, one </w:t>
            </w:r>
            <w:r>
              <w:rPr>
                <w:rFonts w:ascii="Times New Roman" w:hAnsi="Times New Roman" w:cs="Times New Roman"/>
                <w:b/>
                <w:bCs/>
                <w:sz w:val="24"/>
                <w:szCs w:val="24"/>
              </w:rPr>
              <w:t>shot</w:t>
            </w:r>
            <w:r>
              <w:rPr>
                <w:rFonts w:ascii="Times New Roman" w:hAnsi="Times New Roman" w:cs="Times New Roman"/>
                <w:sz w:val="24"/>
                <w:szCs w:val="24"/>
              </w:rPr>
              <w:t xml:space="preserve"> in leg and other </w:t>
            </w:r>
            <w:r>
              <w:rPr>
                <w:rFonts w:ascii="Times New Roman" w:hAnsi="Times New Roman" w:cs="Times New Roman"/>
                <w:b/>
                <w:bCs/>
                <w:sz w:val="24"/>
                <w:szCs w:val="24"/>
              </w:rPr>
              <w:t xml:space="preserve">shot </w:t>
            </w:r>
            <w:r>
              <w:rPr>
                <w:rFonts w:ascii="Times New Roman" w:hAnsi="Times New Roman" w:cs="Times New Roman"/>
                <w:sz w:val="24"/>
                <w:szCs w:val="24"/>
              </w:rPr>
              <w:t>dead by land owner during a confrontation of the owner's land Kyekyewere in Ayensuano District</w:t>
            </w:r>
          </w:p>
        </w:tc>
      </w:tr>
      <w:tr>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c>
          <w:tcPr>
            <w:tcW w:w="456" w:type="dxa"/>
            <w:shd w:val="clear" w:color="auto" w:fill="DEEAF6" w:themeFill="accent5" w:themeFillTint="33"/>
          </w:tcPr>
          <w:p>
            <w:pPr>
              <w:spacing w:after="0" w:line="276" w:lineRule="auto"/>
              <w:rPr>
                <w:rFonts w:ascii="Times New Roman" w:hAnsi="Times New Roman" w:cs="Times New Roman"/>
                <w:b w:val="0"/>
                <w:bCs w:val="0"/>
                <w:sz w:val="24"/>
                <w:szCs w:val="24"/>
              </w:rPr>
            </w:pPr>
            <w:r>
              <w:rPr>
                <w:rFonts w:ascii="Times New Roman" w:hAnsi="Times New Roman" w:cs="Times New Roman"/>
                <w:b/>
                <w:bCs/>
                <w:sz w:val="24"/>
                <w:szCs w:val="24"/>
              </w:rPr>
              <w:t>7</w:t>
            </w:r>
          </w:p>
        </w:tc>
        <w:tc>
          <w:tcPr>
            <w:tcW w:w="910" w:type="dxa"/>
            <w:shd w:val="clear" w:color="auto" w:fill="DEEAF6" w:themeFill="accent5" w:themeFillTint="33"/>
          </w:tcPr>
          <w:p>
            <w:pPr>
              <w:spacing w:after="0" w:line="276" w:lineRule="auto"/>
              <w:rPr>
                <w:rFonts w:ascii="Times New Roman" w:hAnsi="Times New Roman" w:cs="Times New Roman"/>
                <w:sz w:val="24"/>
                <w:szCs w:val="24"/>
              </w:rPr>
            </w:pPr>
            <w:r>
              <w:rPr>
                <w:rFonts w:ascii="Times New Roman" w:hAnsi="Times New Roman" w:cs="Times New Roman"/>
                <w:sz w:val="24"/>
                <w:szCs w:val="24"/>
              </w:rPr>
              <w:t>July</w:t>
            </w:r>
          </w:p>
        </w:tc>
        <w:tc>
          <w:tcPr>
            <w:tcW w:w="1779" w:type="dxa"/>
            <w:shd w:val="clear" w:color="auto" w:fill="DEEAF6" w:themeFill="accent5" w:themeFillTint="33"/>
          </w:tcPr>
          <w:p>
            <w:pPr>
              <w:spacing w:after="0" w:line="276" w:lineRule="auto"/>
              <w:rPr>
                <w:rFonts w:ascii="Times New Roman" w:hAnsi="Times New Roman" w:cs="Times New Roman"/>
                <w:sz w:val="24"/>
                <w:szCs w:val="24"/>
              </w:rPr>
            </w:pPr>
            <w:r>
              <w:rPr>
                <w:rFonts w:ascii="Times New Roman" w:hAnsi="Times New Roman" w:cs="Times New Roman"/>
                <w:sz w:val="24"/>
                <w:szCs w:val="24"/>
              </w:rPr>
              <w:t>Eastern</w:t>
            </w:r>
          </w:p>
        </w:tc>
        <w:tc>
          <w:tcPr>
            <w:tcW w:w="7020" w:type="dxa"/>
            <w:shd w:val="clear" w:color="auto" w:fill="DEEAF6" w:themeFill="accent5" w:themeFillTint="33"/>
          </w:tcPr>
          <w:p>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35-year-old man </w:t>
            </w:r>
            <w:r>
              <w:rPr>
                <w:rFonts w:ascii="Times New Roman" w:hAnsi="Times New Roman" w:cs="Times New Roman"/>
                <w:b/>
                <w:bCs/>
                <w:sz w:val="24"/>
                <w:szCs w:val="24"/>
              </w:rPr>
              <w:t>shot</w:t>
            </w:r>
            <w:r>
              <w:rPr>
                <w:rFonts w:ascii="Times New Roman" w:hAnsi="Times New Roman" w:cs="Times New Roman"/>
                <w:sz w:val="24"/>
                <w:szCs w:val="24"/>
              </w:rPr>
              <w:t xml:space="preserve"> dead at Kyekyewere near Teacher Mante in the Ayensoano District</w:t>
            </w:r>
          </w:p>
        </w:tc>
      </w:tr>
      <w:tr>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c>
          <w:tcPr>
            <w:tcW w:w="456" w:type="dxa"/>
          </w:tcPr>
          <w:p>
            <w:pPr>
              <w:spacing w:after="0" w:line="276" w:lineRule="auto"/>
              <w:rPr>
                <w:rFonts w:ascii="Times New Roman" w:hAnsi="Times New Roman" w:cs="Times New Roman"/>
                <w:b w:val="0"/>
                <w:bCs w:val="0"/>
                <w:sz w:val="24"/>
                <w:szCs w:val="24"/>
              </w:rPr>
            </w:pPr>
            <w:r>
              <w:rPr>
                <w:rFonts w:ascii="Times New Roman" w:hAnsi="Times New Roman" w:cs="Times New Roman"/>
                <w:b/>
                <w:bCs/>
                <w:sz w:val="24"/>
                <w:szCs w:val="24"/>
              </w:rPr>
              <w:t>8</w:t>
            </w:r>
          </w:p>
        </w:tc>
        <w:tc>
          <w:tcPr>
            <w:tcW w:w="910"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July</w:t>
            </w:r>
          </w:p>
        </w:tc>
        <w:tc>
          <w:tcPr>
            <w:tcW w:w="1779"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Eastern</w:t>
            </w:r>
          </w:p>
        </w:tc>
        <w:tc>
          <w:tcPr>
            <w:tcW w:w="7020"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One person </w:t>
            </w:r>
            <w:r>
              <w:rPr>
                <w:rFonts w:ascii="Times New Roman" w:hAnsi="Times New Roman" w:cs="Times New Roman"/>
                <w:b/>
                <w:bCs/>
                <w:sz w:val="24"/>
                <w:szCs w:val="24"/>
              </w:rPr>
              <w:t>shot</w:t>
            </w:r>
            <w:r>
              <w:rPr>
                <w:rFonts w:ascii="Times New Roman" w:hAnsi="Times New Roman" w:cs="Times New Roman"/>
                <w:sz w:val="24"/>
                <w:szCs w:val="24"/>
              </w:rPr>
              <w:t xml:space="preserve"> dead and four others sustained </w:t>
            </w:r>
            <w:r>
              <w:rPr>
                <w:rFonts w:ascii="Times New Roman" w:hAnsi="Times New Roman" w:cs="Times New Roman"/>
                <w:b/>
                <w:bCs/>
                <w:sz w:val="24"/>
                <w:szCs w:val="24"/>
              </w:rPr>
              <w:t>gunshot</w:t>
            </w:r>
            <w:r>
              <w:rPr>
                <w:rFonts w:ascii="Times New Roman" w:hAnsi="Times New Roman" w:cs="Times New Roman"/>
                <w:sz w:val="24"/>
                <w:szCs w:val="24"/>
              </w:rPr>
              <w:t xml:space="preserve"> wounds in a clash between youths of Ofoase Zongo and Brenase</w:t>
            </w:r>
          </w:p>
        </w:tc>
      </w:tr>
      <w:tr>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c>
          <w:tcPr>
            <w:tcW w:w="456" w:type="dxa"/>
            <w:shd w:val="clear" w:color="auto" w:fill="DEEAF6" w:themeFill="accent5" w:themeFillTint="33"/>
          </w:tcPr>
          <w:p>
            <w:pPr>
              <w:spacing w:after="0" w:line="276" w:lineRule="auto"/>
              <w:rPr>
                <w:rFonts w:ascii="Times New Roman" w:hAnsi="Times New Roman" w:cs="Times New Roman"/>
                <w:b w:val="0"/>
                <w:bCs w:val="0"/>
                <w:sz w:val="24"/>
                <w:szCs w:val="24"/>
              </w:rPr>
            </w:pPr>
            <w:r>
              <w:rPr>
                <w:rFonts w:ascii="Times New Roman" w:hAnsi="Times New Roman" w:cs="Times New Roman"/>
                <w:b/>
                <w:bCs/>
                <w:sz w:val="24"/>
                <w:szCs w:val="24"/>
              </w:rPr>
              <w:t>9</w:t>
            </w:r>
          </w:p>
        </w:tc>
        <w:tc>
          <w:tcPr>
            <w:tcW w:w="910" w:type="dxa"/>
            <w:shd w:val="clear" w:color="auto" w:fill="DEEAF6" w:themeFill="accent5" w:themeFillTint="33"/>
          </w:tcPr>
          <w:p>
            <w:pPr>
              <w:spacing w:after="0" w:line="276" w:lineRule="auto"/>
              <w:rPr>
                <w:rFonts w:ascii="Times New Roman" w:hAnsi="Times New Roman" w:cs="Times New Roman"/>
                <w:sz w:val="24"/>
                <w:szCs w:val="24"/>
              </w:rPr>
            </w:pPr>
            <w:r>
              <w:rPr>
                <w:rFonts w:ascii="Times New Roman" w:hAnsi="Times New Roman" w:cs="Times New Roman"/>
                <w:sz w:val="24"/>
                <w:szCs w:val="24"/>
              </w:rPr>
              <w:t>July</w:t>
            </w:r>
          </w:p>
        </w:tc>
        <w:tc>
          <w:tcPr>
            <w:tcW w:w="1779" w:type="dxa"/>
            <w:shd w:val="clear" w:color="auto" w:fill="DEEAF6" w:themeFill="accent5" w:themeFillTint="33"/>
          </w:tcPr>
          <w:p>
            <w:pPr>
              <w:spacing w:after="0" w:line="276" w:lineRule="auto"/>
              <w:rPr>
                <w:rFonts w:ascii="Times New Roman" w:hAnsi="Times New Roman" w:cs="Times New Roman"/>
                <w:sz w:val="24"/>
                <w:szCs w:val="24"/>
              </w:rPr>
            </w:pPr>
            <w:r>
              <w:rPr>
                <w:rFonts w:ascii="Times New Roman" w:hAnsi="Times New Roman" w:cs="Times New Roman"/>
                <w:sz w:val="24"/>
                <w:szCs w:val="24"/>
              </w:rPr>
              <w:t>Eastern</w:t>
            </w:r>
          </w:p>
        </w:tc>
        <w:tc>
          <w:tcPr>
            <w:tcW w:w="7020" w:type="dxa"/>
            <w:shd w:val="clear" w:color="auto" w:fill="DEEAF6" w:themeFill="accent5" w:themeFillTint="33"/>
          </w:tcPr>
          <w:p>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Woman </w:t>
            </w:r>
            <w:r>
              <w:rPr>
                <w:rFonts w:ascii="Times New Roman" w:hAnsi="Times New Roman" w:cs="Times New Roman"/>
                <w:b/>
                <w:bCs/>
                <w:sz w:val="24"/>
                <w:szCs w:val="24"/>
              </w:rPr>
              <w:t>shot</w:t>
            </w:r>
            <w:r>
              <w:rPr>
                <w:rFonts w:ascii="Times New Roman" w:hAnsi="Times New Roman" w:cs="Times New Roman"/>
                <w:sz w:val="24"/>
                <w:szCs w:val="24"/>
              </w:rPr>
              <w:t xml:space="preserve"> dead over burial rituals</w:t>
            </w:r>
          </w:p>
        </w:tc>
      </w:tr>
      <w:tr>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c>
          <w:tcPr>
            <w:tcW w:w="456" w:type="dxa"/>
          </w:tcPr>
          <w:p>
            <w:pPr>
              <w:spacing w:after="0" w:line="276" w:lineRule="auto"/>
              <w:rPr>
                <w:rFonts w:ascii="Times New Roman" w:hAnsi="Times New Roman" w:cs="Times New Roman"/>
                <w:b w:val="0"/>
                <w:bCs w:val="0"/>
                <w:sz w:val="24"/>
                <w:szCs w:val="24"/>
              </w:rPr>
            </w:pPr>
            <w:r>
              <w:rPr>
                <w:rFonts w:ascii="Times New Roman" w:hAnsi="Times New Roman" w:cs="Times New Roman"/>
                <w:b/>
                <w:bCs/>
                <w:sz w:val="24"/>
                <w:szCs w:val="24"/>
              </w:rPr>
              <w:t>10</w:t>
            </w:r>
          </w:p>
        </w:tc>
        <w:tc>
          <w:tcPr>
            <w:tcW w:w="910"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June</w:t>
            </w:r>
          </w:p>
        </w:tc>
        <w:tc>
          <w:tcPr>
            <w:tcW w:w="1779"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Ashanti</w:t>
            </w:r>
          </w:p>
        </w:tc>
        <w:tc>
          <w:tcPr>
            <w:tcW w:w="7020"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4 robbers </w:t>
            </w:r>
            <w:r>
              <w:rPr>
                <w:rFonts w:ascii="Times New Roman" w:hAnsi="Times New Roman" w:cs="Times New Roman"/>
                <w:b/>
                <w:bCs/>
                <w:sz w:val="24"/>
                <w:szCs w:val="24"/>
              </w:rPr>
              <w:t>shoot</w:t>
            </w:r>
            <w:r>
              <w:rPr>
                <w:rFonts w:ascii="Times New Roman" w:hAnsi="Times New Roman" w:cs="Times New Roman"/>
                <w:sz w:val="24"/>
                <w:szCs w:val="24"/>
              </w:rPr>
              <w:t xml:space="preserve"> at the police at Asumegya in Asante Bewkwai District</w:t>
            </w:r>
          </w:p>
        </w:tc>
      </w:tr>
      <w:tr>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c>
          <w:tcPr>
            <w:tcW w:w="456" w:type="dxa"/>
            <w:shd w:val="clear" w:color="auto" w:fill="DEEAF6" w:themeFill="accent5" w:themeFillTint="33"/>
          </w:tcPr>
          <w:p>
            <w:pPr>
              <w:spacing w:after="0" w:line="276" w:lineRule="auto"/>
              <w:rPr>
                <w:rFonts w:ascii="Times New Roman" w:hAnsi="Times New Roman" w:cs="Times New Roman"/>
                <w:b w:val="0"/>
                <w:bCs w:val="0"/>
                <w:sz w:val="24"/>
                <w:szCs w:val="24"/>
              </w:rPr>
            </w:pPr>
            <w:r>
              <w:rPr>
                <w:rFonts w:ascii="Times New Roman" w:hAnsi="Times New Roman" w:cs="Times New Roman"/>
                <w:b/>
                <w:bCs/>
                <w:sz w:val="24"/>
                <w:szCs w:val="24"/>
              </w:rPr>
              <w:t>11</w:t>
            </w:r>
          </w:p>
        </w:tc>
        <w:tc>
          <w:tcPr>
            <w:tcW w:w="910" w:type="dxa"/>
            <w:shd w:val="clear" w:color="auto" w:fill="DEEAF6" w:themeFill="accent5" w:themeFillTint="33"/>
          </w:tcPr>
          <w:p>
            <w:pPr>
              <w:spacing w:after="0" w:line="276" w:lineRule="auto"/>
              <w:rPr>
                <w:rFonts w:ascii="Times New Roman" w:hAnsi="Times New Roman" w:cs="Times New Roman"/>
                <w:sz w:val="24"/>
                <w:szCs w:val="24"/>
              </w:rPr>
            </w:pPr>
            <w:r>
              <w:rPr>
                <w:rFonts w:ascii="Times New Roman" w:hAnsi="Times New Roman" w:cs="Times New Roman"/>
                <w:sz w:val="24"/>
                <w:szCs w:val="24"/>
              </w:rPr>
              <w:t>June</w:t>
            </w:r>
          </w:p>
        </w:tc>
        <w:tc>
          <w:tcPr>
            <w:tcW w:w="1779" w:type="dxa"/>
            <w:shd w:val="clear" w:color="auto" w:fill="DEEAF6" w:themeFill="accent5" w:themeFillTint="33"/>
          </w:tcPr>
          <w:p>
            <w:pPr>
              <w:spacing w:after="0" w:line="276" w:lineRule="auto"/>
              <w:rPr>
                <w:rFonts w:ascii="Times New Roman" w:hAnsi="Times New Roman" w:cs="Times New Roman"/>
                <w:sz w:val="24"/>
                <w:szCs w:val="24"/>
              </w:rPr>
            </w:pPr>
            <w:r>
              <w:rPr>
                <w:rFonts w:ascii="Times New Roman" w:hAnsi="Times New Roman" w:cs="Times New Roman"/>
                <w:sz w:val="24"/>
                <w:szCs w:val="24"/>
              </w:rPr>
              <w:t>Ashanti</w:t>
            </w:r>
          </w:p>
        </w:tc>
        <w:tc>
          <w:tcPr>
            <w:tcW w:w="7020" w:type="dxa"/>
            <w:shd w:val="clear" w:color="auto" w:fill="DEEAF6" w:themeFill="accent5" w:themeFillTint="33"/>
          </w:tcPr>
          <w:p>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Police </w:t>
            </w:r>
            <w:r>
              <w:rPr>
                <w:rFonts w:ascii="Times New Roman" w:hAnsi="Times New Roman" w:cs="Times New Roman"/>
                <w:b/>
                <w:bCs/>
                <w:sz w:val="24"/>
                <w:szCs w:val="24"/>
              </w:rPr>
              <w:t>shoot</w:t>
            </w:r>
            <w:r>
              <w:rPr>
                <w:rFonts w:ascii="Times New Roman" w:hAnsi="Times New Roman" w:cs="Times New Roman"/>
                <w:sz w:val="24"/>
                <w:szCs w:val="24"/>
              </w:rPr>
              <w:t xml:space="preserve"> to disperse protesting students of Islamic High School in Kumasi.</w:t>
            </w:r>
          </w:p>
        </w:tc>
      </w:tr>
      <w:tr>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c>
          <w:tcPr>
            <w:tcW w:w="456" w:type="dxa"/>
          </w:tcPr>
          <w:p>
            <w:pPr>
              <w:spacing w:after="0" w:line="276" w:lineRule="auto"/>
              <w:rPr>
                <w:rFonts w:ascii="Times New Roman" w:hAnsi="Times New Roman" w:cs="Times New Roman"/>
                <w:b w:val="0"/>
                <w:bCs w:val="0"/>
                <w:sz w:val="24"/>
                <w:szCs w:val="24"/>
              </w:rPr>
            </w:pPr>
            <w:r>
              <w:rPr>
                <w:rFonts w:ascii="Times New Roman" w:hAnsi="Times New Roman" w:cs="Times New Roman"/>
                <w:b/>
                <w:bCs/>
                <w:sz w:val="24"/>
                <w:szCs w:val="24"/>
              </w:rPr>
              <w:t>12</w:t>
            </w:r>
          </w:p>
        </w:tc>
        <w:tc>
          <w:tcPr>
            <w:tcW w:w="910"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July</w:t>
            </w:r>
          </w:p>
        </w:tc>
        <w:tc>
          <w:tcPr>
            <w:tcW w:w="1779"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Ashanti</w:t>
            </w:r>
          </w:p>
        </w:tc>
        <w:tc>
          <w:tcPr>
            <w:tcW w:w="7020" w:type="dxa"/>
          </w:tcPr>
          <w:p>
            <w:pPr>
              <w:spacing w:after="0" w:line="276" w:lineRule="auto"/>
              <w:rPr>
                <w:rFonts w:ascii="Times New Roman" w:hAnsi="Times New Roman" w:cs="Times New Roman"/>
                <w:b/>
                <w:bCs/>
                <w:sz w:val="24"/>
                <w:szCs w:val="24"/>
              </w:rPr>
            </w:pPr>
            <w:r>
              <w:rPr>
                <w:rFonts w:ascii="Times New Roman" w:hAnsi="Times New Roman" w:cs="Times New Roman"/>
                <w:sz w:val="24"/>
                <w:szCs w:val="24"/>
              </w:rPr>
              <w:t>23-year-old,</w:t>
            </w:r>
            <w:r>
              <w:rPr>
                <w:rFonts w:ascii="Times New Roman" w:hAnsi="Times New Roman" w:cs="Times New Roman"/>
                <w:b/>
                <w:bCs/>
                <w:sz w:val="24"/>
                <w:szCs w:val="24"/>
              </w:rPr>
              <w:t xml:space="preserve"> shot</w:t>
            </w:r>
            <w:r>
              <w:rPr>
                <w:rFonts w:ascii="Times New Roman" w:hAnsi="Times New Roman" w:cs="Times New Roman"/>
                <w:sz w:val="24"/>
                <w:szCs w:val="24"/>
              </w:rPr>
              <w:t xml:space="preserve"> by some unknown gunmen after he dropped off a friend at Sofoline.</w:t>
            </w:r>
          </w:p>
        </w:tc>
      </w:tr>
      <w:tr>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c>
          <w:tcPr>
            <w:tcW w:w="456" w:type="dxa"/>
            <w:shd w:val="clear" w:color="auto" w:fill="DEEAF6" w:themeFill="accent5" w:themeFillTint="33"/>
          </w:tcPr>
          <w:p>
            <w:pPr>
              <w:spacing w:after="0" w:line="276" w:lineRule="auto"/>
              <w:rPr>
                <w:rFonts w:ascii="Times New Roman" w:hAnsi="Times New Roman" w:cs="Times New Roman"/>
                <w:b w:val="0"/>
                <w:bCs w:val="0"/>
                <w:sz w:val="24"/>
                <w:szCs w:val="24"/>
              </w:rPr>
            </w:pPr>
            <w:r>
              <w:rPr>
                <w:rFonts w:ascii="Times New Roman" w:hAnsi="Times New Roman" w:cs="Times New Roman"/>
                <w:b/>
                <w:bCs/>
                <w:sz w:val="24"/>
                <w:szCs w:val="24"/>
              </w:rPr>
              <w:t>13</w:t>
            </w:r>
          </w:p>
        </w:tc>
        <w:tc>
          <w:tcPr>
            <w:tcW w:w="910" w:type="dxa"/>
            <w:shd w:val="clear" w:color="auto" w:fill="DEEAF6" w:themeFill="accent5" w:themeFillTint="33"/>
          </w:tcPr>
          <w:p>
            <w:pPr>
              <w:spacing w:after="0" w:line="276" w:lineRule="auto"/>
              <w:rPr>
                <w:rFonts w:ascii="Times New Roman" w:hAnsi="Times New Roman" w:cs="Times New Roman"/>
                <w:sz w:val="24"/>
                <w:szCs w:val="24"/>
              </w:rPr>
            </w:pPr>
            <w:r>
              <w:rPr>
                <w:rFonts w:ascii="Times New Roman" w:hAnsi="Times New Roman" w:cs="Times New Roman"/>
                <w:sz w:val="24"/>
                <w:szCs w:val="24"/>
              </w:rPr>
              <w:t>July</w:t>
            </w:r>
          </w:p>
        </w:tc>
        <w:tc>
          <w:tcPr>
            <w:tcW w:w="1779" w:type="dxa"/>
            <w:shd w:val="clear" w:color="auto" w:fill="DEEAF6" w:themeFill="accent5" w:themeFillTint="33"/>
          </w:tcPr>
          <w:p>
            <w:pPr>
              <w:spacing w:after="0" w:line="276" w:lineRule="auto"/>
              <w:rPr>
                <w:rFonts w:ascii="Times New Roman" w:hAnsi="Times New Roman" w:cs="Times New Roman"/>
                <w:sz w:val="24"/>
                <w:szCs w:val="24"/>
              </w:rPr>
            </w:pPr>
            <w:r>
              <w:rPr>
                <w:rFonts w:ascii="Times New Roman" w:hAnsi="Times New Roman" w:cs="Times New Roman"/>
                <w:sz w:val="24"/>
                <w:szCs w:val="24"/>
              </w:rPr>
              <w:t>Western North</w:t>
            </w:r>
          </w:p>
        </w:tc>
        <w:tc>
          <w:tcPr>
            <w:tcW w:w="7020" w:type="dxa"/>
            <w:shd w:val="clear" w:color="auto" w:fill="DEEAF6" w:themeFill="accent5" w:themeFillTint="33"/>
          </w:tcPr>
          <w:p>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Three persons sustained </w:t>
            </w:r>
            <w:r>
              <w:rPr>
                <w:rFonts w:ascii="Times New Roman" w:hAnsi="Times New Roman" w:cs="Times New Roman"/>
                <w:b/>
                <w:bCs/>
                <w:sz w:val="24"/>
                <w:szCs w:val="24"/>
              </w:rPr>
              <w:t>gunshot</w:t>
            </w:r>
            <w:r>
              <w:rPr>
                <w:rFonts w:ascii="Times New Roman" w:hAnsi="Times New Roman" w:cs="Times New Roman"/>
                <w:sz w:val="24"/>
                <w:szCs w:val="24"/>
              </w:rPr>
              <w:t xml:space="preserve"> wounds from stray bullets at Bibiani during a demonstration at the Mensin Mines.</w:t>
            </w:r>
          </w:p>
        </w:tc>
      </w:tr>
      <w:tr>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c>
          <w:tcPr>
            <w:tcW w:w="456" w:type="dxa"/>
          </w:tcPr>
          <w:p>
            <w:pPr>
              <w:spacing w:after="0" w:line="276" w:lineRule="auto"/>
              <w:rPr>
                <w:rFonts w:ascii="Times New Roman" w:hAnsi="Times New Roman" w:cs="Times New Roman"/>
                <w:b w:val="0"/>
                <w:bCs w:val="0"/>
                <w:sz w:val="24"/>
                <w:szCs w:val="24"/>
              </w:rPr>
            </w:pPr>
            <w:r>
              <w:rPr>
                <w:rFonts w:ascii="Times New Roman" w:hAnsi="Times New Roman" w:cs="Times New Roman"/>
                <w:b/>
                <w:bCs/>
                <w:sz w:val="24"/>
                <w:szCs w:val="24"/>
              </w:rPr>
              <w:t>14</w:t>
            </w:r>
          </w:p>
        </w:tc>
        <w:tc>
          <w:tcPr>
            <w:tcW w:w="910"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July</w:t>
            </w:r>
          </w:p>
        </w:tc>
        <w:tc>
          <w:tcPr>
            <w:tcW w:w="1779"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Western North</w:t>
            </w:r>
          </w:p>
        </w:tc>
        <w:tc>
          <w:tcPr>
            <w:tcW w:w="7020"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Chief Linguist of Sehwi Proso traditional area in the Juaboso District </w:t>
            </w:r>
            <w:r>
              <w:rPr>
                <w:rFonts w:ascii="Times New Roman" w:hAnsi="Times New Roman" w:cs="Times New Roman"/>
                <w:b/>
                <w:bCs/>
                <w:sz w:val="24"/>
                <w:szCs w:val="24"/>
              </w:rPr>
              <w:t>shot</w:t>
            </w:r>
            <w:r>
              <w:rPr>
                <w:rFonts w:ascii="Times New Roman" w:hAnsi="Times New Roman" w:cs="Times New Roman"/>
                <w:sz w:val="24"/>
                <w:szCs w:val="24"/>
              </w:rPr>
              <w:t xml:space="preserve"> dead in a forest by unidentified persons.</w:t>
            </w:r>
          </w:p>
        </w:tc>
      </w:tr>
      <w:tr>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c>
          <w:tcPr>
            <w:tcW w:w="456" w:type="dxa"/>
            <w:shd w:val="clear" w:color="auto" w:fill="DEEAF6" w:themeFill="accent5" w:themeFillTint="33"/>
          </w:tcPr>
          <w:p>
            <w:pPr>
              <w:spacing w:after="0" w:line="276" w:lineRule="auto"/>
              <w:rPr>
                <w:rFonts w:ascii="Times New Roman" w:hAnsi="Times New Roman" w:cs="Times New Roman"/>
                <w:b w:val="0"/>
                <w:bCs w:val="0"/>
                <w:sz w:val="24"/>
                <w:szCs w:val="24"/>
              </w:rPr>
            </w:pPr>
            <w:r>
              <w:rPr>
                <w:rFonts w:ascii="Times New Roman" w:hAnsi="Times New Roman" w:cs="Times New Roman"/>
                <w:b/>
                <w:bCs/>
                <w:sz w:val="24"/>
                <w:szCs w:val="24"/>
              </w:rPr>
              <w:t>15</w:t>
            </w:r>
          </w:p>
        </w:tc>
        <w:tc>
          <w:tcPr>
            <w:tcW w:w="910" w:type="dxa"/>
            <w:shd w:val="clear" w:color="auto" w:fill="DEEAF6" w:themeFill="accent5" w:themeFillTint="33"/>
          </w:tcPr>
          <w:p>
            <w:pPr>
              <w:spacing w:after="0" w:line="276" w:lineRule="auto"/>
              <w:rPr>
                <w:rFonts w:ascii="Times New Roman" w:hAnsi="Times New Roman" w:cs="Times New Roman"/>
                <w:sz w:val="24"/>
                <w:szCs w:val="24"/>
              </w:rPr>
            </w:pPr>
            <w:r>
              <w:rPr>
                <w:rFonts w:ascii="Times New Roman" w:hAnsi="Times New Roman" w:cs="Times New Roman"/>
                <w:sz w:val="24"/>
                <w:szCs w:val="24"/>
              </w:rPr>
              <w:t>June</w:t>
            </w:r>
          </w:p>
        </w:tc>
        <w:tc>
          <w:tcPr>
            <w:tcW w:w="1779" w:type="dxa"/>
            <w:shd w:val="clear" w:color="auto" w:fill="DEEAF6" w:themeFill="accent5" w:themeFillTint="33"/>
          </w:tcPr>
          <w:p>
            <w:pPr>
              <w:spacing w:after="0" w:line="276" w:lineRule="auto"/>
              <w:rPr>
                <w:rFonts w:ascii="Times New Roman" w:hAnsi="Times New Roman" w:cs="Times New Roman"/>
                <w:sz w:val="24"/>
                <w:szCs w:val="24"/>
              </w:rPr>
            </w:pPr>
            <w:r>
              <w:rPr>
                <w:rFonts w:ascii="Times New Roman" w:hAnsi="Times New Roman" w:cs="Times New Roman"/>
                <w:sz w:val="24"/>
                <w:szCs w:val="24"/>
              </w:rPr>
              <w:t>Bono East</w:t>
            </w:r>
          </w:p>
        </w:tc>
        <w:tc>
          <w:tcPr>
            <w:tcW w:w="7020" w:type="dxa"/>
            <w:shd w:val="clear" w:color="auto" w:fill="DEEAF6" w:themeFill="accent5" w:themeFillTint="33"/>
          </w:tcPr>
          <w:p>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Man </w:t>
            </w:r>
            <w:r>
              <w:rPr>
                <w:rFonts w:ascii="Times New Roman" w:hAnsi="Times New Roman" w:cs="Times New Roman"/>
                <w:b/>
                <w:bCs/>
                <w:sz w:val="24"/>
                <w:szCs w:val="24"/>
              </w:rPr>
              <w:t xml:space="preserve">shot </w:t>
            </w:r>
            <w:r>
              <w:rPr>
                <w:rFonts w:ascii="Times New Roman" w:hAnsi="Times New Roman" w:cs="Times New Roman"/>
                <w:sz w:val="24"/>
                <w:szCs w:val="24"/>
              </w:rPr>
              <w:t>and killed by police during a protest in Nkoranza.</w:t>
            </w:r>
          </w:p>
        </w:tc>
      </w:tr>
    </w:tbl>
    <w:p>
      <w:pPr>
        <w:spacing w:line="360" w:lineRule="auto"/>
        <w:rPr>
          <w:rFonts w:ascii="Times New Roman" w:hAnsi="Times New Roman" w:cs="Times New Roman"/>
          <w:i/>
          <w:iCs/>
          <w:sz w:val="24"/>
          <w:szCs w:val="24"/>
        </w:rPr>
      </w:pPr>
      <w:r>
        <w:rPr>
          <w:rFonts w:ascii="Times New Roman" w:hAnsi="Times New Roman" w:cs="Times New Roman"/>
          <w:b/>
          <w:bCs/>
          <w:i/>
          <w:iCs/>
          <w:sz w:val="24"/>
          <w:szCs w:val="24"/>
        </w:rPr>
        <w:t>Note:</w:t>
      </w:r>
      <w:r>
        <w:rPr>
          <w:rFonts w:ascii="Times New Roman" w:hAnsi="Times New Roman" w:cs="Times New Roman"/>
          <w:i/>
          <w:iCs/>
          <w:sz w:val="24"/>
          <w:szCs w:val="24"/>
        </w:rPr>
        <w:t xml:space="preserve"> AK-47 is a popular type of machine gun or </w:t>
      </w:r>
      <w:r>
        <w:fldChar w:fldCharType="begin"/>
      </w:r>
      <w:r>
        <w:instrText xml:space="preserve"> HYPERLINK "https://en.wikipedia.org/wiki/Gas_operated" </w:instrText>
      </w:r>
      <w:r>
        <w:fldChar w:fldCharType="separate"/>
      </w:r>
      <w:r>
        <w:rPr>
          <w:rFonts w:ascii="Times New Roman" w:hAnsi="Times New Roman" w:cs="Times New Roman"/>
          <w:i/>
          <w:iCs/>
          <w:sz w:val="24"/>
          <w:szCs w:val="24"/>
        </w:rPr>
        <w:t>gas-operated</w:t>
      </w:r>
      <w:r>
        <w:rPr>
          <w:rFonts w:ascii="Times New Roman" w:hAnsi="Times New Roman" w:cs="Times New Roman"/>
          <w:i/>
          <w:iCs/>
          <w:sz w:val="24"/>
          <w:szCs w:val="24"/>
        </w:rPr>
        <w:fldChar w:fldCharType="end"/>
      </w:r>
      <w:r>
        <w:rPr>
          <w:rFonts w:ascii="Times New Roman" w:hAnsi="Times New Roman" w:cs="Times New Roman"/>
          <w:i/>
          <w:iCs/>
          <w:sz w:val="24"/>
          <w:szCs w:val="24"/>
        </w:rPr>
        <w:t> </w:t>
      </w:r>
      <w:r>
        <w:fldChar w:fldCharType="begin"/>
      </w:r>
      <w:r>
        <w:instrText xml:space="preserve"> HYPERLINK "https://en.wikipedia.org/wiki/Assault_rifle" \o "Assault rifle" </w:instrText>
      </w:r>
      <w:r>
        <w:fldChar w:fldCharType="separate"/>
      </w:r>
      <w:r>
        <w:rPr>
          <w:rFonts w:ascii="Times New Roman" w:hAnsi="Times New Roman" w:cs="Times New Roman"/>
          <w:i/>
          <w:iCs/>
          <w:sz w:val="24"/>
          <w:szCs w:val="24"/>
        </w:rPr>
        <w:t>assault rifle</w:t>
      </w:r>
      <w:r>
        <w:rPr>
          <w:rFonts w:ascii="Times New Roman" w:hAnsi="Times New Roman" w:cs="Times New Roman"/>
          <w:i/>
          <w:iCs/>
          <w:sz w:val="24"/>
          <w:szCs w:val="24"/>
        </w:rPr>
        <w:fldChar w:fldCharType="end"/>
      </w:r>
      <w:r>
        <w:rPr>
          <w:rFonts w:ascii="Times New Roman" w:hAnsi="Times New Roman" w:cs="Times New Roman"/>
          <w:i/>
          <w:iCs/>
          <w:sz w:val="24"/>
          <w:szCs w:val="24"/>
        </w:rPr>
        <w:t>.</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outcome of the monitoring shows that gun violence has increase by 3 more incidents when the two months are compared. In the month of June, a total of 6-gun related events were reported in the media. This, increased to 9 in the month of July.  </w:t>
      </w:r>
    </w:p>
    <w:p>
      <w:pPr>
        <w:spacing w:after="0" w:line="360" w:lineRule="auto"/>
        <w:jc w:val="both"/>
        <w:rPr>
          <w:rFonts w:ascii="Times New Roman" w:hAnsi="Times New Roman" w:cs="Times New Roman"/>
          <w:sz w:val="24"/>
          <w:szCs w:val="24"/>
        </w:rPr>
      </w:pPr>
    </w:p>
    <w:p>
      <w:pPr>
        <w:pStyle w:val="15"/>
        <w:numPr>
          <w:ilvl w:val="0"/>
          <w:numId w:val="2"/>
        </w:numPr>
        <w:spacing w:after="0" w:line="360" w:lineRule="auto"/>
        <w:jc w:val="both"/>
        <w:rPr>
          <w:rFonts w:ascii="Times New Roman" w:hAnsi="Times New Roman" w:cs="Times New Roman"/>
          <w:b/>
          <w:bCs/>
          <w:sz w:val="32"/>
          <w:szCs w:val="32"/>
        </w:rPr>
      </w:pPr>
      <w:r>
        <w:rPr>
          <w:rFonts w:ascii="Times New Roman" w:hAnsi="Times New Roman" w:cs="Times New Roman"/>
          <w:b/>
          <w:bCs/>
          <w:sz w:val="32"/>
          <w:szCs w:val="32"/>
        </w:rPr>
        <w:t>Physical Violence</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Physical violence was the most occurring incident with 49 cases (representing 57%). Ashanti region recorded 16 incidents (33%), followed by Greater Accra 10 (20%). Western North and Central recorded 6 and 5 incidents representing 12% and 10% respectively. Physical violence contributed 120 (72%) of injuries and 26 deaths representing 63%.</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were no physical violence incidents in 4 regions i.e Upper West, Upper East, Bono and Ahafo regions. </w:t>
      </w:r>
      <w:r>
        <w:rPr>
          <w:rFonts w:ascii="Times New Roman" w:hAnsi="Times New Roman" w:cs="Times New Roman"/>
          <w:b/>
          <w:bCs/>
          <w:sz w:val="24"/>
          <w:szCs w:val="24"/>
        </w:rPr>
        <w:t>Fig:5</w:t>
      </w:r>
      <w:r>
        <w:rPr>
          <w:rFonts w:ascii="Times New Roman" w:hAnsi="Times New Roman" w:cs="Times New Roman"/>
          <w:sz w:val="24"/>
          <w:szCs w:val="24"/>
        </w:rPr>
        <w:t xml:space="preserve"> shows the count and share of physical violence from a regional point of view.</w:t>
      </w: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Fig:5 Count and share of physical violence at regional level</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6172200" cy="42456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172200" cy="4245610"/>
                    </a:xfrm>
                    <a:prstGeom prst="rect">
                      <a:avLst/>
                    </a:prstGeom>
                  </pic:spPr>
                </pic:pic>
              </a:graphicData>
            </a:graphic>
          </wp:inline>
        </w:drawing>
      </w:r>
    </w:p>
    <w:p>
      <w:pPr>
        <w:spacing w:line="360" w:lineRule="auto"/>
        <w:jc w:val="both"/>
        <w:rPr>
          <w:rFonts w:ascii="Times New Roman" w:hAnsi="Times New Roman" w:cs="Times New Roman"/>
          <w:sz w:val="24"/>
          <w:szCs w:val="24"/>
        </w:rPr>
      </w:pPr>
    </w:p>
    <w:p>
      <w:pPr>
        <w:pStyle w:val="15"/>
        <w:numPr>
          <w:ilvl w:val="0"/>
          <w:numId w:val="2"/>
        </w:numPr>
        <w:spacing w:line="360" w:lineRule="auto"/>
        <w:jc w:val="both"/>
        <w:rPr>
          <w:rFonts w:ascii="Times New Roman" w:hAnsi="Times New Roman" w:cs="Times New Roman"/>
          <w:b/>
          <w:bCs/>
          <w:sz w:val="32"/>
          <w:szCs w:val="32"/>
        </w:rPr>
      </w:pPr>
      <w:r>
        <w:rPr>
          <w:rFonts w:ascii="Times New Roman" w:hAnsi="Times New Roman" w:cs="Times New Roman"/>
          <w:b/>
          <w:bCs/>
          <w:sz w:val="32"/>
          <w:szCs w:val="32"/>
        </w:rPr>
        <w:t>Conclusions</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violent incident increase from June to July, physical violence remains the dominant type of violence recorded within the monitoring period. Out of the 16 regions, only Ahafo region did not record an incident. The violent incidents showed a high record (46) in middle zone. </w:t>
      </w:r>
    </w:p>
    <w:p>
      <w:pPr>
        <w:spacing w:line="360" w:lineRule="auto"/>
        <w:jc w:val="both"/>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APPENDIX 1: Media Portals where Monitoring was Conducted</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36"/>
        <w:gridCol w:w="4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6" w:type="dxa"/>
          </w:tcPr>
          <w:p>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w:t>
            </w:r>
          </w:p>
        </w:tc>
        <w:tc>
          <w:tcPr>
            <w:tcW w:w="936" w:type="dxa"/>
          </w:tcPr>
          <w:p>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Nature</w:t>
            </w:r>
          </w:p>
        </w:tc>
        <w:tc>
          <w:tcPr>
            <w:tcW w:w="4194" w:type="dxa"/>
          </w:tcPr>
          <w:p>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1</w:t>
            </w:r>
          </w:p>
        </w:tc>
        <w:tc>
          <w:tcPr>
            <w:tcW w:w="936"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Online</w:t>
            </w:r>
          </w:p>
        </w:tc>
        <w:tc>
          <w:tcPr>
            <w:tcW w:w="4194"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www.adomonline.com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2</w:t>
            </w:r>
          </w:p>
        </w:tc>
        <w:tc>
          <w:tcPr>
            <w:tcW w:w="936"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Online</w:t>
            </w:r>
          </w:p>
        </w:tc>
        <w:tc>
          <w:tcPr>
            <w:tcW w:w="4194"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www.citinewsroom.com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3</w:t>
            </w:r>
          </w:p>
        </w:tc>
        <w:tc>
          <w:tcPr>
            <w:tcW w:w="936"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Online</w:t>
            </w:r>
          </w:p>
        </w:tc>
        <w:tc>
          <w:tcPr>
            <w:tcW w:w="4194"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www.peacefmonline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4</w:t>
            </w:r>
          </w:p>
        </w:tc>
        <w:tc>
          <w:tcPr>
            <w:tcW w:w="936"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Online</w:t>
            </w:r>
          </w:p>
        </w:tc>
        <w:tc>
          <w:tcPr>
            <w:tcW w:w="4194"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www.myjoyonline.com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5</w:t>
            </w:r>
          </w:p>
        </w:tc>
        <w:tc>
          <w:tcPr>
            <w:tcW w:w="936"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Online</w:t>
            </w:r>
          </w:p>
        </w:tc>
        <w:tc>
          <w:tcPr>
            <w:tcW w:w="4194"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www.3news.com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6</w:t>
            </w:r>
          </w:p>
        </w:tc>
        <w:tc>
          <w:tcPr>
            <w:tcW w:w="936"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Print</w:t>
            </w:r>
          </w:p>
        </w:tc>
        <w:tc>
          <w:tcPr>
            <w:tcW w:w="4194"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www.graphic.com.gh | Daily Graphic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7</w:t>
            </w:r>
          </w:p>
        </w:tc>
        <w:tc>
          <w:tcPr>
            <w:tcW w:w="936"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Online</w:t>
            </w:r>
          </w:p>
        </w:tc>
        <w:tc>
          <w:tcPr>
            <w:tcW w:w="4194"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www.starrfm.com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8</w:t>
            </w:r>
          </w:p>
        </w:tc>
        <w:tc>
          <w:tcPr>
            <w:tcW w:w="936"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Online</w:t>
            </w:r>
          </w:p>
        </w:tc>
        <w:tc>
          <w:tcPr>
            <w:tcW w:w="4194"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www.dailyguidenetwork.com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9</w:t>
            </w:r>
          </w:p>
        </w:tc>
        <w:tc>
          <w:tcPr>
            <w:tcW w:w="936"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Online</w:t>
            </w:r>
          </w:p>
        </w:tc>
        <w:tc>
          <w:tcPr>
            <w:tcW w:w="4194"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www.ghanamma.com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10</w:t>
            </w:r>
          </w:p>
        </w:tc>
        <w:tc>
          <w:tcPr>
            <w:tcW w:w="936"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Online</w:t>
            </w:r>
          </w:p>
        </w:tc>
        <w:tc>
          <w:tcPr>
            <w:tcW w:w="4194"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www.gbcghanaonline.com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11</w:t>
            </w:r>
          </w:p>
        </w:tc>
        <w:tc>
          <w:tcPr>
            <w:tcW w:w="936"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Online</w:t>
            </w:r>
          </w:p>
        </w:tc>
        <w:tc>
          <w:tcPr>
            <w:tcW w:w="4194"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www.kessbenonline.com/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12</w:t>
            </w:r>
          </w:p>
        </w:tc>
        <w:tc>
          <w:tcPr>
            <w:tcW w:w="936"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Online</w:t>
            </w:r>
          </w:p>
        </w:tc>
        <w:tc>
          <w:tcPr>
            <w:tcW w:w="4194"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www.ghanaweb.com</w:t>
            </w:r>
          </w:p>
        </w:tc>
      </w:tr>
    </w:tbl>
    <w:p>
      <w:pPr>
        <w:spacing w:after="0" w:line="360" w:lineRule="auto"/>
        <w:rPr>
          <w:rFonts w:ascii="Times New Roman" w:hAnsi="Times New Roman" w:cs="Times New Roman"/>
          <w:b/>
          <w:bCs/>
          <w:sz w:val="24"/>
          <w:szCs w:val="24"/>
        </w:rPr>
      </w:pPr>
    </w:p>
    <w:p>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About the FOSDA Violent Incidents Monitoring</w:t>
      </w:r>
    </w:p>
    <w:p>
      <w:pPr>
        <w:spacing w:line="276" w:lineRule="auto"/>
        <w:jc w:val="both"/>
        <w:rPr>
          <w:rFonts w:ascii="Times New Roman" w:hAnsi="Times New Roman" w:cs="Times New Roman"/>
          <w:sz w:val="24"/>
          <w:szCs w:val="24"/>
        </w:rPr>
      </w:pPr>
      <w:r>
        <w:rPr>
          <w:rFonts w:ascii="Times New Roman" w:hAnsi="Times New Roman" w:cs="Times New Roman"/>
          <w:sz w:val="24"/>
          <w:szCs w:val="24"/>
        </w:rPr>
        <w:t>The FOSDA Violent Incidents Monitoring is a media-based monitoring that focuses on 7 types of broad-based violence i.e Physical (including gun violence), Political Violence, Social Violence, Economic Violence, Sexual Violence and Psychological Violence and places where they occur. The target sources of monitoring are mainly the most sought-after online media news outlets. This is completed by reportage in the print media. The monitoring offers an opportunity for analysis, mapping and policy options on these incidents as they impact human security. A call on key stakeholders to act is the ultimate intent.</w:t>
      </w:r>
    </w:p>
    <w:sectPr>
      <w:headerReference r:id="rId5" w:type="default"/>
      <w:pgSz w:w="12240" w:h="15840"/>
      <w:pgMar w:top="1440" w:right="108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等线">
    <w:altName w:val="Microsoft YaHei"/>
    <w:panose1 w:val="00000000000000000000"/>
    <w:charset w:val="00"/>
    <w:family w:val="auto"/>
    <w:pitch w:val="default"/>
    <w:sig w:usb0="00000000" w:usb1="00000000" w:usb2="00000000" w:usb3="00000000" w:csb0="00000000" w:csb1="00000000"/>
  </w:font>
  <w:font w:name="Gilda Display">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icrosoft YaHe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spacing w:before="0" w:after="0" w:line="259" w:lineRule="auto"/>
      </w:pPr>
      <w:r>
        <w:separator/>
      </w:r>
    </w:p>
  </w:footnote>
  <w:footnote w:type="continuationSeparator" w:id="3">
    <w:p>
      <w:pPr>
        <w:spacing w:before="0" w:after="0" w:line="259" w:lineRule="auto"/>
      </w:pPr>
      <w:r>
        <w:continuationSeparator/>
      </w:r>
    </w:p>
  </w:footnote>
  <w:footnote w:id="0">
    <w:p>
      <w:pPr>
        <w:pStyle w:val="8"/>
      </w:pPr>
      <w:r>
        <w:rPr>
          <w:rStyle w:val="7"/>
        </w:rPr>
        <w:footnoteRef/>
      </w:r>
      <w:r>
        <w:t xml:space="preserve"> There were 12 main monitoring sources including 1 print media i.e Daily Graphic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b/>
        <w:bCs/>
        <w:color w:val="000000"/>
      </w:rPr>
      <w:drawing>
        <wp:anchor distT="0" distB="0" distL="114300" distR="114300" simplePos="0" relativeHeight="251660288" behindDoc="0" locked="0" layoutInCell="1" allowOverlap="1">
          <wp:simplePos x="0" y="0"/>
          <wp:positionH relativeFrom="margin">
            <wp:posOffset>-641985</wp:posOffset>
          </wp:positionH>
          <wp:positionV relativeFrom="margin">
            <wp:posOffset>-630555</wp:posOffset>
          </wp:positionV>
          <wp:extent cx="1520825" cy="491490"/>
          <wp:effectExtent l="0" t="0" r="3175"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rcRect l="3989" t="12357" r="1884" b="15078"/>
                  <a:stretch>
                    <a:fillRect/>
                  </a:stretch>
                </pic:blipFill>
                <pic:spPr>
                  <a:xfrm>
                    <a:off x="0" y="0"/>
                    <a:ext cx="1520825" cy="491490"/>
                  </a:xfrm>
                  <a:prstGeom prst="rect">
                    <a:avLst/>
                  </a:prstGeom>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BC4F76"/>
    <w:multiLevelType w:val="singleLevel"/>
    <w:tmpl w:val="5EBC4F76"/>
    <w:lvl w:ilvl="0" w:tentative="0">
      <w:start w:val="1"/>
      <w:numFmt w:val="decimal"/>
      <w:suff w:val="space"/>
      <w:lvlText w:val="%1."/>
      <w:lvlJc w:val="left"/>
    </w:lvl>
  </w:abstractNum>
  <w:abstractNum w:abstractNumId="1">
    <w:nsid w:val="5EEA7CAF"/>
    <w:multiLevelType w:val="multilevel"/>
    <w:tmpl w:val="5EEA7CA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720"/>
  <w:characterSpacingControl w:val="doNotCompress"/>
  <w:footnotePr>
    <w:footnote w:id="2"/>
    <w:footnote w:id="3"/>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E29"/>
    <w:rsid w:val="000141FE"/>
    <w:rsid w:val="00014644"/>
    <w:rsid w:val="00017B33"/>
    <w:rsid w:val="00044DE7"/>
    <w:rsid w:val="0004782C"/>
    <w:rsid w:val="00054077"/>
    <w:rsid w:val="00056F65"/>
    <w:rsid w:val="00062FC8"/>
    <w:rsid w:val="00082ECA"/>
    <w:rsid w:val="000B0132"/>
    <w:rsid w:val="000E2237"/>
    <w:rsid w:val="000E2CDC"/>
    <w:rsid w:val="00100A08"/>
    <w:rsid w:val="001060EF"/>
    <w:rsid w:val="00110758"/>
    <w:rsid w:val="00114108"/>
    <w:rsid w:val="00114B48"/>
    <w:rsid w:val="00121596"/>
    <w:rsid w:val="0012236E"/>
    <w:rsid w:val="001328A0"/>
    <w:rsid w:val="0014312C"/>
    <w:rsid w:val="0017100D"/>
    <w:rsid w:val="001821AB"/>
    <w:rsid w:val="00191A1D"/>
    <w:rsid w:val="00191A71"/>
    <w:rsid w:val="001B709B"/>
    <w:rsid w:val="001C5483"/>
    <w:rsid w:val="001C7280"/>
    <w:rsid w:val="001D6F22"/>
    <w:rsid w:val="001E125E"/>
    <w:rsid w:val="002045C9"/>
    <w:rsid w:val="0021053B"/>
    <w:rsid w:val="00212A4F"/>
    <w:rsid w:val="00216089"/>
    <w:rsid w:val="00216C4A"/>
    <w:rsid w:val="00221190"/>
    <w:rsid w:val="002217C5"/>
    <w:rsid w:val="0023714E"/>
    <w:rsid w:val="00251337"/>
    <w:rsid w:val="00253FD6"/>
    <w:rsid w:val="00270870"/>
    <w:rsid w:val="0027097B"/>
    <w:rsid w:val="002731EE"/>
    <w:rsid w:val="00274E00"/>
    <w:rsid w:val="00280934"/>
    <w:rsid w:val="00285F76"/>
    <w:rsid w:val="0029416C"/>
    <w:rsid w:val="002A3D55"/>
    <w:rsid w:val="002A51C5"/>
    <w:rsid w:val="002A6134"/>
    <w:rsid w:val="002A6E29"/>
    <w:rsid w:val="002B36C3"/>
    <w:rsid w:val="002C65F3"/>
    <w:rsid w:val="002E27CB"/>
    <w:rsid w:val="002F038F"/>
    <w:rsid w:val="002F5414"/>
    <w:rsid w:val="00300E1A"/>
    <w:rsid w:val="003116D1"/>
    <w:rsid w:val="00311713"/>
    <w:rsid w:val="00324C8F"/>
    <w:rsid w:val="0032658D"/>
    <w:rsid w:val="00330847"/>
    <w:rsid w:val="00335524"/>
    <w:rsid w:val="00354A26"/>
    <w:rsid w:val="003643B1"/>
    <w:rsid w:val="003A6CEE"/>
    <w:rsid w:val="003B1F8D"/>
    <w:rsid w:val="003D00C6"/>
    <w:rsid w:val="003D32FF"/>
    <w:rsid w:val="003E3971"/>
    <w:rsid w:val="003E7588"/>
    <w:rsid w:val="003F3667"/>
    <w:rsid w:val="003F7725"/>
    <w:rsid w:val="004131FA"/>
    <w:rsid w:val="0042599F"/>
    <w:rsid w:val="00426BD2"/>
    <w:rsid w:val="004336BF"/>
    <w:rsid w:val="00444099"/>
    <w:rsid w:val="00450771"/>
    <w:rsid w:val="00461FAF"/>
    <w:rsid w:val="00485394"/>
    <w:rsid w:val="004A194F"/>
    <w:rsid w:val="004A5EAA"/>
    <w:rsid w:val="004B00C0"/>
    <w:rsid w:val="004B0451"/>
    <w:rsid w:val="004B3480"/>
    <w:rsid w:val="004B5ADF"/>
    <w:rsid w:val="004C3F95"/>
    <w:rsid w:val="004E60D2"/>
    <w:rsid w:val="004F14E6"/>
    <w:rsid w:val="00501E63"/>
    <w:rsid w:val="00531062"/>
    <w:rsid w:val="00544B37"/>
    <w:rsid w:val="005526B0"/>
    <w:rsid w:val="0055300E"/>
    <w:rsid w:val="005565CA"/>
    <w:rsid w:val="005710F3"/>
    <w:rsid w:val="0057148A"/>
    <w:rsid w:val="0058345E"/>
    <w:rsid w:val="00586EF7"/>
    <w:rsid w:val="0059049D"/>
    <w:rsid w:val="0059084A"/>
    <w:rsid w:val="00590CAC"/>
    <w:rsid w:val="00592B19"/>
    <w:rsid w:val="005B790C"/>
    <w:rsid w:val="005D33A1"/>
    <w:rsid w:val="005F177D"/>
    <w:rsid w:val="005F785A"/>
    <w:rsid w:val="005F7F79"/>
    <w:rsid w:val="00603B4F"/>
    <w:rsid w:val="0060709F"/>
    <w:rsid w:val="00632CE6"/>
    <w:rsid w:val="00634453"/>
    <w:rsid w:val="006419C5"/>
    <w:rsid w:val="00641E89"/>
    <w:rsid w:val="00652CE0"/>
    <w:rsid w:val="00652D1F"/>
    <w:rsid w:val="00654C78"/>
    <w:rsid w:val="0066337D"/>
    <w:rsid w:val="00665D7F"/>
    <w:rsid w:val="00681169"/>
    <w:rsid w:val="006822E1"/>
    <w:rsid w:val="00683DEE"/>
    <w:rsid w:val="006A766F"/>
    <w:rsid w:val="006B1BBA"/>
    <w:rsid w:val="006B22A9"/>
    <w:rsid w:val="006B6F94"/>
    <w:rsid w:val="006C302C"/>
    <w:rsid w:val="006C7130"/>
    <w:rsid w:val="006D09D7"/>
    <w:rsid w:val="006D1E5B"/>
    <w:rsid w:val="006D2860"/>
    <w:rsid w:val="006F2637"/>
    <w:rsid w:val="006F7C27"/>
    <w:rsid w:val="007129F5"/>
    <w:rsid w:val="007135DC"/>
    <w:rsid w:val="007145D4"/>
    <w:rsid w:val="00724648"/>
    <w:rsid w:val="0075109A"/>
    <w:rsid w:val="00765DC3"/>
    <w:rsid w:val="0078222F"/>
    <w:rsid w:val="00785150"/>
    <w:rsid w:val="007872F3"/>
    <w:rsid w:val="007A64C1"/>
    <w:rsid w:val="007B6A6D"/>
    <w:rsid w:val="007C1AF4"/>
    <w:rsid w:val="007C2A85"/>
    <w:rsid w:val="007E54F1"/>
    <w:rsid w:val="007F1EF1"/>
    <w:rsid w:val="00802A29"/>
    <w:rsid w:val="00804378"/>
    <w:rsid w:val="00824532"/>
    <w:rsid w:val="00831B6B"/>
    <w:rsid w:val="00837F24"/>
    <w:rsid w:val="00843E8B"/>
    <w:rsid w:val="00851748"/>
    <w:rsid w:val="00857150"/>
    <w:rsid w:val="00860457"/>
    <w:rsid w:val="008622F3"/>
    <w:rsid w:val="008946F5"/>
    <w:rsid w:val="00894BCC"/>
    <w:rsid w:val="008C2404"/>
    <w:rsid w:val="008C306E"/>
    <w:rsid w:val="008E2B94"/>
    <w:rsid w:val="00924E75"/>
    <w:rsid w:val="009264D8"/>
    <w:rsid w:val="009461A9"/>
    <w:rsid w:val="009609CC"/>
    <w:rsid w:val="00964328"/>
    <w:rsid w:val="00964B49"/>
    <w:rsid w:val="00965784"/>
    <w:rsid w:val="009668BD"/>
    <w:rsid w:val="009744F7"/>
    <w:rsid w:val="0097510E"/>
    <w:rsid w:val="009776B1"/>
    <w:rsid w:val="009872AC"/>
    <w:rsid w:val="00992AB1"/>
    <w:rsid w:val="009A05C9"/>
    <w:rsid w:val="009B00A4"/>
    <w:rsid w:val="009B26DE"/>
    <w:rsid w:val="009B43AF"/>
    <w:rsid w:val="009B688F"/>
    <w:rsid w:val="009D3FDF"/>
    <w:rsid w:val="009D4626"/>
    <w:rsid w:val="009D51D6"/>
    <w:rsid w:val="009E4FDE"/>
    <w:rsid w:val="009E600F"/>
    <w:rsid w:val="00A06465"/>
    <w:rsid w:val="00A07836"/>
    <w:rsid w:val="00A1477D"/>
    <w:rsid w:val="00A36B73"/>
    <w:rsid w:val="00A570A8"/>
    <w:rsid w:val="00A73DDF"/>
    <w:rsid w:val="00A85B49"/>
    <w:rsid w:val="00A866B5"/>
    <w:rsid w:val="00AD22B2"/>
    <w:rsid w:val="00AD3589"/>
    <w:rsid w:val="00AD6714"/>
    <w:rsid w:val="00AE4BB9"/>
    <w:rsid w:val="00AF515D"/>
    <w:rsid w:val="00AF6DD3"/>
    <w:rsid w:val="00B02F64"/>
    <w:rsid w:val="00B2049C"/>
    <w:rsid w:val="00B27073"/>
    <w:rsid w:val="00B51178"/>
    <w:rsid w:val="00B554C9"/>
    <w:rsid w:val="00B56F72"/>
    <w:rsid w:val="00B6383E"/>
    <w:rsid w:val="00B64322"/>
    <w:rsid w:val="00B64617"/>
    <w:rsid w:val="00B72B8F"/>
    <w:rsid w:val="00B76F5C"/>
    <w:rsid w:val="00B77C00"/>
    <w:rsid w:val="00B8410D"/>
    <w:rsid w:val="00B85E07"/>
    <w:rsid w:val="00B96414"/>
    <w:rsid w:val="00BB77F8"/>
    <w:rsid w:val="00BE1A33"/>
    <w:rsid w:val="00BE5A7F"/>
    <w:rsid w:val="00C07207"/>
    <w:rsid w:val="00C16885"/>
    <w:rsid w:val="00C230D8"/>
    <w:rsid w:val="00C34EE1"/>
    <w:rsid w:val="00C51D60"/>
    <w:rsid w:val="00C57F30"/>
    <w:rsid w:val="00C65B6A"/>
    <w:rsid w:val="00C722A1"/>
    <w:rsid w:val="00CA3CAB"/>
    <w:rsid w:val="00CA6524"/>
    <w:rsid w:val="00CB481A"/>
    <w:rsid w:val="00CC0086"/>
    <w:rsid w:val="00CC18CA"/>
    <w:rsid w:val="00CC342A"/>
    <w:rsid w:val="00CC41CD"/>
    <w:rsid w:val="00CE0E74"/>
    <w:rsid w:val="00CE3A89"/>
    <w:rsid w:val="00CE49D2"/>
    <w:rsid w:val="00CE54D9"/>
    <w:rsid w:val="00CF2C8A"/>
    <w:rsid w:val="00D04911"/>
    <w:rsid w:val="00D11345"/>
    <w:rsid w:val="00D16E68"/>
    <w:rsid w:val="00D2385D"/>
    <w:rsid w:val="00D2558C"/>
    <w:rsid w:val="00D42CD3"/>
    <w:rsid w:val="00D53B1D"/>
    <w:rsid w:val="00D72556"/>
    <w:rsid w:val="00D7791D"/>
    <w:rsid w:val="00D8569D"/>
    <w:rsid w:val="00D93FB0"/>
    <w:rsid w:val="00D94AE3"/>
    <w:rsid w:val="00DB42EF"/>
    <w:rsid w:val="00DC7D26"/>
    <w:rsid w:val="00DD4B44"/>
    <w:rsid w:val="00E066BB"/>
    <w:rsid w:val="00E12505"/>
    <w:rsid w:val="00E34853"/>
    <w:rsid w:val="00E35B9E"/>
    <w:rsid w:val="00E4220F"/>
    <w:rsid w:val="00E43355"/>
    <w:rsid w:val="00E47494"/>
    <w:rsid w:val="00E47AAA"/>
    <w:rsid w:val="00E5690F"/>
    <w:rsid w:val="00E659E7"/>
    <w:rsid w:val="00E67B1B"/>
    <w:rsid w:val="00EE049E"/>
    <w:rsid w:val="00EE2BB9"/>
    <w:rsid w:val="00EE56BA"/>
    <w:rsid w:val="00EF3C89"/>
    <w:rsid w:val="00F04605"/>
    <w:rsid w:val="00F25B70"/>
    <w:rsid w:val="00F370E4"/>
    <w:rsid w:val="00F409D3"/>
    <w:rsid w:val="00F42BE2"/>
    <w:rsid w:val="00F47E5A"/>
    <w:rsid w:val="00F5137E"/>
    <w:rsid w:val="00F52D7C"/>
    <w:rsid w:val="00F53E98"/>
    <w:rsid w:val="00F550DA"/>
    <w:rsid w:val="00F73EF5"/>
    <w:rsid w:val="00F75407"/>
    <w:rsid w:val="00F81938"/>
    <w:rsid w:val="00F9295F"/>
    <w:rsid w:val="00F97619"/>
    <w:rsid w:val="00FA3393"/>
    <w:rsid w:val="00FA765D"/>
    <w:rsid w:val="00FB3BD5"/>
    <w:rsid w:val="00FC33B0"/>
    <w:rsid w:val="00FD5DEE"/>
    <w:rsid w:val="00FD63F3"/>
    <w:rsid w:val="00FF3CF2"/>
    <w:rsid w:val="00FF41DC"/>
    <w:rsid w:val="29024273"/>
    <w:rsid w:val="297A70D3"/>
    <w:rsid w:val="477A5CF6"/>
    <w:rsid w:val="5DB723C2"/>
    <w:rsid w:val="668E23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annotation reference"/>
    <w:basedOn w:val="2"/>
    <w:semiHidden/>
    <w:unhideWhenUsed/>
    <w:qFormat/>
    <w:uiPriority w:val="99"/>
    <w:rPr>
      <w:sz w:val="16"/>
      <w:szCs w:val="16"/>
    </w:rPr>
  </w:style>
  <w:style w:type="paragraph" w:styleId="5">
    <w:name w:val="annotation text"/>
    <w:basedOn w:val="1"/>
    <w:semiHidden/>
    <w:unhideWhenUsed/>
    <w:qFormat/>
    <w:uiPriority w:val="99"/>
  </w:style>
  <w:style w:type="paragraph" w:styleId="6">
    <w:name w:val="footer"/>
    <w:basedOn w:val="1"/>
    <w:semiHidden/>
    <w:unhideWhenUsed/>
    <w:uiPriority w:val="99"/>
    <w:pPr>
      <w:tabs>
        <w:tab w:val="center" w:pos="4153"/>
        <w:tab w:val="right" w:pos="8306"/>
      </w:tabs>
      <w:snapToGrid w:val="0"/>
      <w:jc w:val="left"/>
    </w:pPr>
    <w:rPr>
      <w:sz w:val="18"/>
      <w:szCs w:val="18"/>
    </w:rPr>
  </w:style>
  <w:style w:type="character" w:styleId="7">
    <w:name w:val="footnote reference"/>
    <w:basedOn w:val="2"/>
    <w:semiHidden/>
    <w:unhideWhenUsed/>
    <w:qFormat/>
    <w:uiPriority w:val="99"/>
    <w:rPr>
      <w:vertAlign w:val="superscript"/>
    </w:rPr>
  </w:style>
  <w:style w:type="paragraph" w:styleId="8">
    <w:name w:val="footnote text"/>
    <w:basedOn w:val="1"/>
    <w:link w:val="14"/>
    <w:semiHidden/>
    <w:unhideWhenUsed/>
    <w:qFormat/>
    <w:uiPriority w:val="99"/>
    <w:pPr>
      <w:spacing w:after="0" w:line="240" w:lineRule="auto"/>
    </w:pPr>
    <w:rPr>
      <w:sz w:val="20"/>
      <w:szCs w:val="20"/>
    </w:rPr>
  </w:style>
  <w:style w:type="paragraph" w:styleId="9">
    <w:name w:val="header"/>
    <w:basedOn w:val="1"/>
    <w:semiHidden/>
    <w:unhideWhenUsed/>
    <w:uiPriority w:val="99"/>
    <w:pPr>
      <w:tabs>
        <w:tab w:val="center" w:pos="4153"/>
        <w:tab w:val="right" w:pos="8306"/>
      </w:tabs>
      <w:snapToGrid w:val="0"/>
    </w:pPr>
    <w:rPr>
      <w:sz w:val="18"/>
      <w:szCs w:val="18"/>
    </w:rPr>
  </w:style>
  <w:style w:type="character" w:styleId="10">
    <w:name w:val="Hyperlink"/>
    <w:basedOn w:val="2"/>
    <w:unhideWhenUsed/>
    <w:qFormat/>
    <w:uiPriority w:val="99"/>
    <w:rPr>
      <w:color w:val="0563C1" w:themeColor="hyperlink"/>
      <w:u w:val="single"/>
      <w14:textFill>
        <w14:solidFill>
          <w14:schemeClr w14:val="hlink"/>
        </w14:solidFill>
      </w14:textFill>
    </w:rPr>
  </w:style>
  <w:style w:type="paragraph" w:styleId="11">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lang w:val="en-GB" w:eastAsia="en-GB"/>
    </w:rPr>
  </w:style>
  <w:style w:type="table" w:styleId="12">
    <w:name w:val="Table Grid"/>
    <w:basedOn w:val="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
    <w:name w:val="Unresolved Mention1"/>
    <w:basedOn w:val="2"/>
    <w:semiHidden/>
    <w:unhideWhenUsed/>
    <w:qFormat/>
    <w:uiPriority w:val="99"/>
    <w:rPr>
      <w:color w:val="605E5C"/>
      <w:shd w:val="clear" w:color="auto" w:fill="E1DFDD"/>
    </w:rPr>
  </w:style>
  <w:style w:type="character" w:customStyle="1" w:styleId="14">
    <w:name w:val="Footnote Text Char"/>
    <w:basedOn w:val="2"/>
    <w:link w:val="8"/>
    <w:semiHidden/>
    <w:qFormat/>
    <w:uiPriority w:val="99"/>
    <w:rPr>
      <w:sz w:val="20"/>
      <w:szCs w:val="20"/>
    </w:rPr>
  </w:style>
  <w:style w:type="paragraph" w:styleId="15">
    <w:name w:val="List Paragraph"/>
    <w:basedOn w:val="1"/>
    <w:qFormat/>
    <w:uiPriority w:val="34"/>
    <w:pPr>
      <w:ind w:left="720"/>
      <w:contextualSpacing/>
    </w:pPr>
  </w:style>
  <w:style w:type="paragraph" w:customStyle="1" w:styleId="16">
    <w:name w:val="Revision1"/>
    <w:hidden/>
    <w:semiHidden/>
    <w:qFormat/>
    <w:uiPriority w:val="99"/>
    <w:rPr>
      <w:rFonts w:asciiTheme="minorHAnsi" w:hAnsiTheme="minorHAnsi" w:eastAsiaTheme="minorHAnsi" w:cstheme="minorBidi"/>
      <w:sz w:val="22"/>
      <w:szCs w:val="22"/>
      <w:lang w:val="en-US" w:eastAsia="en-US" w:bidi="ar-SA"/>
    </w:rPr>
  </w:style>
  <w:style w:type="table" w:customStyle="1" w:styleId="17">
    <w:name w:val="Grid Table 4 - Accent 11"/>
    <w:basedOn w:val="3"/>
    <w:qFormat/>
    <w:uiPriority w:val="49"/>
    <w:tblPr>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color w:val="FFFFFF" w:themeColor="background1"/>
        <w14:textFill>
          <w14:solidFill>
            <w14:schemeClr w14:val="bg1"/>
          </w14:solidFill>
        </w14:textFill>
      </w:r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cPr>
        <w:tcBorders>
          <w:top w:val="double" w:color="4472C4" w:themeColor="accent1" w:sz="4" w:space="0"/>
        </w:tcBorders>
      </w:tcPr>
    </w:tblStylePr>
    <w:tblStylePr w:type="firstCol">
      <w:rPr>
        <w:b/>
        <w:bCs/>
      </w:rPr>
    </w:tblStylePr>
    <w:tblStylePr w:type="lastCol">
      <w:rPr>
        <w:b/>
        <w:bCs/>
      </w:rPr>
    </w:tblStylePr>
    <w:tblStylePr w:type="band1Vert">
      <w:tcPr>
        <w:shd w:val="clear" w:color="auto" w:fill="D9E2F3" w:themeFill="accent1" w:themeFillTint="33"/>
      </w:tcPr>
    </w:tblStylePr>
    <w:tblStylePr w:type="band1Horz">
      <w:tcPr>
        <w:shd w:val="clear" w:color="auto" w:fill="D9E2F3" w:themeFill="accent1" w:themeFillTint="33"/>
      </w:tcPr>
    </w:tblStylePr>
  </w:style>
  <w:style w:type="table" w:customStyle="1" w:styleId="18">
    <w:name w:val="Grid Table 4 - Accent 51"/>
    <w:basedOn w:val="3"/>
    <w:qFormat/>
    <w:uiPriority w:val="49"/>
    <w:tblPr>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color w:val="FFFFFF" w:themeColor="background1"/>
        <w14:textFill>
          <w14:solidFill>
            <w14:schemeClr w14:val="bg1"/>
          </w14:solidFill>
        </w14:textFill>
      </w:r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insideV w:val="nil"/>
        </w:tcBorders>
        <w:shd w:val="clear" w:color="auto" w:fill="5B9BD5" w:themeFill="accent5"/>
      </w:tcPr>
    </w:tblStylePr>
    <w:tblStylePr w:type="lastRow">
      <w:rPr>
        <w:b/>
        <w:bCs/>
      </w:rPr>
      <w:tcPr>
        <w:tcBorders>
          <w:top w:val="double" w:color="5B9BD5" w:themeColor="accent5" w:sz="4" w:space="0"/>
        </w:tcBorders>
      </w:tcPr>
    </w:tblStylePr>
    <w:tblStylePr w:type="firstCol">
      <w:rPr>
        <w:b/>
        <w:bCs/>
      </w:rPr>
    </w:tblStylePr>
    <w:tblStylePr w:type="lastCol">
      <w:rPr>
        <w:b/>
        <w:bCs/>
      </w:rPr>
    </w:tblStylePr>
    <w:tblStylePr w:type="band1Vert">
      <w:tcPr>
        <w:shd w:val="clear" w:color="auto" w:fill="DEEAF6" w:themeFill="accent5" w:themeFillTint="33"/>
      </w:tcPr>
    </w:tblStylePr>
    <w:tblStylePr w:type="band1Horz">
      <w:tcPr>
        <w:shd w:val="clear" w:color="auto" w:fill="DEEAF6" w:themeFill="accent5" w:themeFillTint="33"/>
      </w:tcPr>
    </w:tblStylePr>
  </w:style>
  <w:style w:type="paragraph" w:customStyle="1" w:styleId="19">
    <w:name w:val="Revision"/>
    <w:hidden/>
    <w:semiHidden/>
    <w:qFormat/>
    <w:uiPriority w:val="99"/>
    <w:rPr>
      <w:rFonts w:asciiTheme="minorHAnsi" w:hAnsiTheme="minorHAnsi" w:eastAsiaTheme="minorHAnsi" w:cstheme="minorBidi"/>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microsoft.com/office/2007/relationships/hdphoto" Target="media/image3.wdp"/><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30F4B0-87B4-40B9-AF6F-3A0BAAE3A023}">
  <ds:schemaRefs/>
</ds:datastoreItem>
</file>

<file path=docProps/app.xml><?xml version="1.0" encoding="utf-8"?>
<Properties xmlns="http://schemas.openxmlformats.org/officeDocument/2006/extended-properties" xmlns:vt="http://schemas.openxmlformats.org/officeDocument/2006/docPropsVTypes">
  <Template>Normal</Template>
  <Pages>9</Pages>
  <Words>1456</Words>
  <Characters>8304</Characters>
  <Lines>69</Lines>
  <Paragraphs>19</Paragraphs>
  <TotalTime>16</TotalTime>
  <ScaleCrop>false</ScaleCrop>
  <LinksUpToDate>false</LinksUpToDate>
  <CharactersWithSpaces>9741</CharactersWithSpaces>
  <Application>WPS Office_11.2.0.11254_F1E327BC-269C-435d-A152-05C5408002CA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2022-06-25T13:05:00Z</dcterms:created>
  <dc:creator>Solomon Okai</dc:creator>
  <cp:lastModifiedBy>Theodora Williams</cp:lastModifiedBy>
  <dcterms:modified xsi:type="dcterms:W3CDTF">2022-08-19T12:03:09Z</dcterms:modified>
  <cp:revision>224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1033-11.2.0.11254</vt:lpwstr>
  </property>
  <property fmtid="{D5CDD505-2E9C-101B-9397-08002B2CF9AE}" pid="3" name="ICV">
    <vt:lpwstr>CF2433F23D9244F884F505382405EFB0</vt:lpwstr>
  </property>
</Properties>
</file>